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22BE4">
      <w:pPr>
        <w:tabs>
          <w:tab w:val="left" w:pos="7572"/>
        </w:tabs>
        <w:spacing w:line="360" w:lineRule="exact"/>
        <w:jc w:val="center"/>
        <w:rPr>
          <w:rFonts w:hint="eastAsia"/>
        </w:rPr>
      </w:pPr>
      <w:bookmarkStart w:id="0" w:name="_GoBack"/>
      <w:r>
        <w:rPr>
          <w:rFonts w:hint="eastAsia"/>
          <w:b/>
          <w:sz w:val="30"/>
        </w:rPr>
        <w:t>资格及响应性审查表</w:t>
      </w:r>
    </w:p>
    <w:bookmarkEnd w:id="0"/>
    <w:p w14:paraId="6AC943E6">
      <w:pPr>
        <w:tabs>
          <w:tab w:val="left" w:pos="7572"/>
        </w:tabs>
        <w:spacing w:line="360" w:lineRule="exact"/>
        <w:ind w:firstLine="0"/>
        <w:jc w:val="right"/>
        <w:rPr>
          <w:rFonts w:ascii="宋体"/>
          <w:b/>
          <w:bCs/>
          <w:sz w:val="24"/>
          <w:szCs w:val="24"/>
        </w:rPr>
      </w:pPr>
      <w:r>
        <w:rPr>
          <w:rFonts w:hint="eastAsia" w:ascii="宋体"/>
          <w:b/>
          <w:bCs/>
          <w:sz w:val="24"/>
          <w:szCs w:val="24"/>
        </w:rPr>
        <w:t>项目名称：</w:t>
      </w:r>
      <w:r>
        <w:rPr>
          <w:rFonts w:hint="eastAsia" w:ascii="宋体"/>
          <w:b/>
          <w:bCs/>
          <w:sz w:val="24"/>
          <w:szCs w:val="24"/>
          <w:lang w:eastAsia="zh-CN"/>
        </w:rPr>
        <w:t>文旅</w:t>
      </w:r>
      <w:r>
        <w:rPr>
          <w:rFonts w:hint="eastAsia" w:ascii="宋体"/>
          <w:b/>
          <w:bCs/>
          <w:sz w:val="24"/>
          <w:szCs w:val="24"/>
        </w:rPr>
        <w:t>活动业务</w:t>
      </w:r>
    </w:p>
    <w:tbl>
      <w:tblPr>
        <w:tblStyle w:val="2"/>
        <w:tblpPr w:leftFromText="180" w:rightFromText="180" w:vertAnchor="text" w:horzAnchor="page" w:tblpX="1957" w:tblpY="369"/>
        <w:tblOverlap w:val="never"/>
        <w:tblW w:w="12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0097"/>
        <w:gridCol w:w="1996"/>
      </w:tblGrid>
      <w:tr w14:paraId="0642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2968020F">
            <w:pPr>
              <w:jc w:val="center"/>
              <w:rPr>
                <w:rFonts w:hint="eastAsia" w:ascii="宋体" w:cs="宋体"/>
                <w:b/>
                <w:bCs w:val="0"/>
                <w:spacing w:val="-20"/>
                <w:sz w:val="24"/>
              </w:rPr>
            </w:pPr>
            <w:r>
              <w:rPr>
                <w:rFonts w:hint="eastAsia" w:ascii="宋体" w:cs="宋体"/>
                <w:b/>
                <w:bCs w:val="0"/>
                <w:spacing w:val="-20"/>
                <w:sz w:val="24"/>
              </w:rPr>
              <w:t>序号</w:t>
            </w:r>
          </w:p>
        </w:tc>
        <w:tc>
          <w:tcPr>
            <w:tcW w:w="10097" w:type="dxa"/>
            <w:tcBorders>
              <w:top w:val="single" w:color="auto" w:sz="4" w:space="0"/>
              <w:left w:val="single" w:color="auto" w:sz="4" w:space="0"/>
              <w:bottom w:val="single" w:color="auto" w:sz="4" w:space="0"/>
              <w:right w:val="single" w:color="auto" w:sz="4" w:space="0"/>
            </w:tcBorders>
            <w:noWrap/>
            <w:vAlign w:val="center"/>
          </w:tcPr>
          <w:p w14:paraId="1BB3F824">
            <w:pPr>
              <w:jc w:val="center"/>
              <w:rPr>
                <w:rFonts w:hint="eastAsia" w:ascii="宋体" w:cs="宋体"/>
                <w:b/>
                <w:bCs w:val="0"/>
                <w:sz w:val="24"/>
              </w:rPr>
            </w:pPr>
            <w:r>
              <w:rPr>
                <w:rFonts w:hint="eastAsia" w:ascii="宋体" w:cs="宋体"/>
                <w:b/>
                <w:bCs w:val="0"/>
                <w:spacing w:val="-20"/>
                <w:sz w:val="24"/>
              </w:rPr>
              <w:t xml:space="preserve">     资格审查要求</w:t>
            </w:r>
          </w:p>
        </w:tc>
        <w:tc>
          <w:tcPr>
            <w:tcW w:w="1996" w:type="dxa"/>
            <w:tcBorders>
              <w:top w:val="single" w:color="auto" w:sz="4" w:space="0"/>
              <w:left w:val="single" w:color="auto" w:sz="4" w:space="0"/>
              <w:bottom w:val="single" w:color="auto" w:sz="4" w:space="0"/>
              <w:right w:val="single" w:color="auto" w:sz="4" w:space="0"/>
            </w:tcBorders>
            <w:noWrap/>
            <w:vAlign w:val="center"/>
          </w:tcPr>
          <w:p w14:paraId="6B7683B8">
            <w:pPr>
              <w:jc w:val="center"/>
              <w:rPr>
                <w:rFonts w:hint="eastAsia" w:ascii="宋体" w:cs="宋体"/>
                <w:b/>
                <w:bCs w:val="0"/>
                <w:spacing w:val="-20"/>
                <w:sz w:val="24"/>
              </w:rPr>
            </w:pPr>
            <w:r>
              <w:rPr>
                <w:rFonts w:hint="eastAsia" w:ascii="宋体" w:cs="宋体"/>
                <w:b/>
                <w:bCs w:val="0"/>
                <w:spacing w:val="-20"/>
                <w:sz w:val="24"/>
              </w:rPr>
              <w:t>审查结果</w:t>
            </w:r>
          </w:p>
        </w:tc>
      </w:tr>
      <w:tr w14:paraId="3853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26" w:type="dxa"/>
            <w:noWrap/>
            <w:vAlign w:val="center"/>
          </w:tcPr>
          <w:p w14:paraId="35FF81E7">
            <w:pPr>
              <w:spacing w:line="220" w:lineRule="exact"/>
              <w:jc w:val="center"/>
              <w:rPr>
                <w:rFonts w:hint="eastAsia" w:ascii="宋体"/>
                <w:spacing w:val="-20"/>
                <w:sz w:val="24"/>
              </w:rPr>
            </w:pPr>
            <w:r>
              <w:rPr>
                <w:rFonts w:hint="eastAsia" w:ascii="宋体"/>
                <w:spacing w:val="-20"/>
                <w:sz w:val="24"/>
              </w:rPr>
              <w:t>1</w:t>
            </w:r>
          </w:p>
        </w:tc>
        <w:tc>
          <w:tcPr>
            <w:tcW w:w="10097" w:type="dxa"/>
            <w:noWrap/>
            <w:vAlign w:val="center"/>
          </w:tcPr>
          <w:p w14:paraId="7A2EB5C2">
            <w:pPr>
              <w:ind w:left="0" w:leftChars="0" w:right="0" w:rightChars="0" w:firstLine="0" w:firstLineChars="0"/>
              <w:jc w:val="left"/>
              <w:rPr>
                <w:rFonts w:hint="eastAsia" w:ascii="宋体" w:cs="宋体"/>
                <w:kern w:val="0"/>
                <w:sz w:val="24"/>
              </w:rPr>
            </w:pPr>
            <w:r>
              <w:rPr>
                <w:rFonts w:hint="eastAsia" w:ascii="宋体" w:eastAsia="宋体" w:cs="宋体"/>
                <w:kern w:val="0"/>
                <w:sz w:val="24"/>
                <w:szCs w:val="21"/>
              </w:rPr>
              <w:t>招募对象应是一般纳税人，并具有独立法人资格，有能力提供相关内容及服务的国内企业(招募对象应提供合格有效的三证合一的企业法人营业执照副本复印件，法人有效证件，银行开户许可证，授权人有效证件，法人授权书，增值税专用发票结算承诺函，并加盖单位公章)。</w:t>
            </w:r>
          </w:p>
        </w:tc>
        <w:tc>
          <w:tcPr>
            <w:tcW w:w="1996" w:type="dxa"/>
            <w:noWrap/>
            <w:vAlign w:val="center"/>
          </w:tcPr>
          <w:p w14:paraId="5A362672">
            <w:pPr>
              <w:jc w:val="center"/>
              <w:rPr>
                <w:rFonts w:ascii="宋体"/>
                <w:sz w:val="24"/>
              </w:rPr>
            </w:pPr>
          </w:p>
        </w:tc>
      </w:tr>
      <w:tr w14:paraId="0FA6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trPr>
        <w:tc>
          <w:tcPr>
            <w:tcW w:w="826" w:type="dxa"/>
            <w:noWrap/>
            <w:vAlign w:val="center"/>
          </w:tcPr>
          <w:p w14:paraId="0ECBD7AD">
            <w:pPr>
              <w:spacing w:line="220" w:lineRule="exact"/>
              <w:jc w:val="center"/>
              <w:rPr>
                <w:rFonts w:hint="eastAsia" w:ascii="宋体"/>
                <w:spacing w:val="-20"/>
                <w:sz w:val="24"/>
              </w:rPr>
            </w:pPr>
            <w:r>
              <w:rPr>
                <w:rFonts w:ascii="宋体"/>
                <w:spacing w:val="-20"/>
                <w:sz w:val="24"/>
              </w:rPr>
              <w:t>2</w:t>
            </w:r>
          </w:p>
        </w:tc>
        <w:tc>
          <w:tcPr>
            <w:tcW w:w="10097" w:type="dxa"/>
            <w:noWrap/>
            <w:vAlign w:val="center"/>
          </w:tcPr>
          <w:p w14:paraId="58D0C2FA">
            <w:pPr>
              <w:ind w:left="0" w:leftChars="0" w:right="0" w:rightChars="0" w:firstLine="0" w:firstLineChars="0"/>
              <w:jc w:val="left"/>
              <w:rPr>
                <w:rFonts w:hint="eastAsia" w:ascii="宋体" w:hAnsi="Calibri" w:eastAsia="宋体" w:cs="宋体"/>
                <w:kern w:val="0"/>
                <w:sz w:val="24"/>
                <w:lang w:eastAsia="zh-CN"/>
              </w:rPr>
            </w:pPr>
            <w:r>
              <w:rPr>
                <w:rFonts w:hint="eastAsia" w:ascii="宋体" w:eastAsia="宋体" w:cs="宋体"/>
                <w:kern w:val="0"/>
                <w:sz w:val="24"/>
                <w:szCs w:val="21"/>
              </w:rPr>
              <w:t>招募对象应通过“信用中国”网站（www.creditchina.gov.cn）、中国政府采购网（www.ccgp.gov.cn）、中国执行信息公开网（http://zxgk.court.gov.cn/）查询并打印相应的信用记录（信用记录查询时间为招募公示截止前15日内有效，加盖单位公章），相关查询结果需要用保存网页的形式（有时间记录），不能用截图。</w:t>
            </w:r>
          </w:p>
        </w:tc>
        <w:tc>
          <w:tcPr>
            <w:tcW w:w="1996" w:type="dxa"/>
            <w:noWrap/>
            <w:vAlign w:val="center"/>
          </w:tcPr>
          <w:p w14:paraId="02E02E38">
            <w:pPr>
              <w:jc w:val="center"/>
              <w:rPr>
                <w:rFonts w:ascii="宋体"/>
                <w:sz w:val="24"/>
              </w:rPr>
            </w:pPr>
          </w:p>
        </w:tc>
      </w:tr>
      <w:tr w14:paraId="744B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826" w:type="dxa"/>
            <w:noWrap/>
            <w:vAlign w:val="center"/>
          </w:tcPr>
          <w:p w14:paraId="089F1607">
            <w:pPr>
              <w:spacing w:line="220" w:lineRule="exact"/>
              <w:jc w:val="center"/>
              <w:rPr>
                <w:rFonts w:hint="eastAsia" w:ascii="宋体"/>
                <w:spacing w:val="-20"/>
                <w:sz w:val="24"/>
              </w:rPr>
            </w:pPr>
            <w:r>
              <w:rPr>
                <w:rFonts w:ascii="宋体"/>
                <w:spacing w:val="-20"/>
                <w:sz w:val="24"/>
              </w:rPr>
              <w:t>3</w:t>
            </w:r>
          </w:p>
        </w:tc>
        <w:tc>
          <w:tcPr>
            <w:tcW w:w="10097" w:type="dxa"/>
            <w:noWrap/>
            <w:vAlign w:val="center"/>
          </w:tcPr>
          <w:p w14:paraId="4DEBB6B4">
            <w:pPr>
              <w:ind w:left="0" w:leftChars="0" w:right="0" w:rightChars="0" w:firstLine="0" w:firstLineChars="0"/>
              <w:jc w:val="left"/>
              <w:rPr>
                <w:rFonts w:hint="eastAsia" w:ascii="宋体" w:eastAsia="宋体" w:cs="宋体"/>
                <w:kern w:val="0"/>
                <w:sz w:val="24"/>
                <w:lang w:eastAsia="zh-CN"/>
              </w:rPr>
            </w:pPr>
            <w:r>
              <w:rPr>
                <w:rFonts w:hint="eastAsia" w:ascii="宋体" w:eastAsia="宋体" w:cs="宋体"/>
                <w:kern w:val="0"/>
                <w:sz w:val="24"/>
                <w:szCs w:val="21"/>
              </w:rPr>
              <w:t>招募对象应具有营业执照及《旅行社业务经营许可证》（提供相关证书复印件，并加盖单位公章，原件备查。）</w:t>
            </w:r>
          </w:p>
        </w:tc>
        <w:tc>
          <w:tcPr>
            <w:tcW w:w="1996" w:type="dxa"/>
            <w:noWrap/>
            <w:vAlign w:val="center"/>
          </w:tcPr>
          <w:p w14:paraId="482BD5AA">
            <w:pPr>
              <w:jc w:val="center"/>
              <w:rPr>
                <w:rFonts w:ascii="宋体"/>
                <w:sz w:val="24"/>
              </w:rPr>
            </w:pPr>
          </w:p>
        </w:tc>
      </w:tr>
      <w:tr w14:paraId="2579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826" w:type="dxa"/>
            <w:shd w:val="clear" w:color="auto" w:fill="auto"/>
            <w:noWrap/>
            <w:vAlign w:val="center"/>
          </w:tcPr>
          <w:p w14:paraId="40003B8B">
            <w:pPr>
              <w:spacing w:line="220" w:lineRule="exact"/>
              <w:ind w:left="0" w:leftChars="0" w:right="0" w:rightChars="0" w:firstLine="0" w:firstLineChars="0"/>
              <w:jc w:val="center"/>
              <w:rPr>
                <w:rFonts w:hint="eastAsia" w:ascii="宋体" w:hAnsi="Calibri" w:eastAsia="宋体" w:cs="Times New Roman"/>
                <w:snapToGrid/>
                <w:color w:val="auto"/>
                <w:spacing w:val="-20"/>
                <w:w w:val="100"/>
                <w:kern w:val="2"/>
                <w:position w:val="0"/>
                <w:sz w:val="24"/>
                <w:szCs w:val="21"/>
                <w:u w:val="none" w:color="auto"/>
                <w:shd w:val="clear" w:color="auto" w:fill="auto"/>
                <w:vertAlign w:val="baseline"/>
                <w:lang w:val="en-US" w:eastAsia="zh-CN" w:bidi="ar-SA"/>
              </w:rPr>
            </w:pPr>
            <w:r>
              <w:rPr>
                <w:rFonts w:hint="eastAsia" w:ascii="宋体"/>
                <w:spacing w:val="-20"/>
                <w:sz w:val="24"/>
                <w:lang w:val="en-US" w:eastAsia="zh-CN"/>
              </w:rPr>
              <w:t>4</w:t>
            </w:r>
          </w:p>
        </w:tc>
        <w:tc>
          <w:tcPr>
            <w:tcW w:w="10097" w:type="dxa"/>
            <w:noWrap/>
            <w:vAlign w:val="center"/>
          </w:tcPr>
          <w:p w14:paraId="7878FA4D">
            <w:pPr>
              <w:ind w:left="0" w:leftChars="0" w:right="0" w:rightChars="0" w:firstLine="0" w:firstLineChars="0"/>
              <w:jc w:val="left"/>
              <w:rPr>
                <w:rFonts w:hint="eastAsia" w:ascii="宋体" w:eastAsia="宋体" w:cs="宋体"/>
                <w:kern w:val="0"/>
                <w:sz w:val="24"/>
                <w:szCs w:val="21"/>
              </w:rPr>
            </w:pPr>
            <w:r>
              <w:rPr>
                <w:rFonts w:hint="eastAsia" w:ascii="宋体" w:eastAsia="宋体" w:cs="宋体"/>
                <w:kern w:val="0"/>
                <w:sz w:val="24"/>
                <w:szCs w:val="21"/>
                <w:lang w:eastAsia="zh-CN"/>
              </w:rPr>
              <w:t>招募对象应具有《旅行社责任保险统保示范项目保险单》（提供相关证书复印件，并加盖保险单位承保专用章，原件备查。）</w:t>
            </w:r>
          </w:p>
        </w:tc>
        <w:tc>
          <w:tcPr>
            <w:tcW w:w="1996" w:type="dxa"/>
            <w:noWrap/>
            <w:vAlign w:val="center"/>
          </w:tcPr>
          <w:p w14:paraId="1CBC4404">
            <w:pPr>
              <w:jc w:val="left"/>
              <w:rPr>
                <w:rFonts w:hint="eastAsia" w:ascii="宋体" w:cs="宋体"/>
                <w:kern w:val="0"/>
                <w:sz w:val="24"/>
              </w:rPr>
            </w:pPr>
          </w:p>
        </w:tc>
      </w:tr>
      <w:tr w14:paraId="10B5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826" w:type="dxa"/>
            <w:shd w:val="clear" w:color="auto" w:fill="auto"/>
            <w:noWrap/>
            <w:vAlign w:val="center"/>
          </w:tcPr>
          <w:p w14:paraId="440F2FD0">
            <w:pPr>
              <w:spacing w:line="220" w:lineRule="exact"/>
              <w:ind w:left="0" w:leftChars="0" w:right="0" w:rightChars="0" w:firstLine="0" w:firstLineChars="0"/>
              <w:jc w:val="center"/>
              <w:rPr>
                <w:rFonts w:hint="eastAsia" w:ascii="宋体" w:hAnsi="Calibri" w:eastAsia="宋体" w:cs="Times New Roman"/>
                <w:snapToGrid/>
                <w:color w:val="auto"/>
                <w:spacing w:val="-20"/>
                <w:w w:val="100"/>
                <w:kern w:val="2"/>
                <w:position w:val="0"/>
                <w:sz w:val="24"/>
                <w:szCs w:val="21"/>
                <w:u w:val="none" w:color="auto"/>
                <w:shd w:val="clear" w:color="auto" w:fill="auto"/>
                <w:vertAlign w:val="baseline"/>
                <w:lang w:val="en-US" w:eastAsia="zh-CN" w:bidi="ar-SA"/>
              </w:rPr>
            </w:pPr>
            <w:r>
              <w:rPr>
                <w:rFonts w:hint="eastAsia" w:ascii="宋体"/>
                <w:spacing w:val="-20"/>
                <w:sz w:val="24"/>
                <w:lang w:val="en-US" w:eastAsia="zh-CN"/>
              </w:rPr>
              <w:t>5</w:t>
            </w:r>
          </w:p>
        </w:tc>
        <w:tc>
          <w:tcPr>
            <w:tcW w:w="10097" w:type="dxa"/>
            <w:noWrap/>
            <w:vAlign w:val="center"/>
          </w:tcPr>
          <w:p w14:paraId="08497E28">
            <w:pPr>
              <w:ind w:left="0" w:leftChars="0" w:right="0" w:rightChars="0" w:firstLine="0" w:firstLineChars="0"/>
              <w:jc w:val="left"/>
              <w:rPr>
                <w:rFonts w:hint="eastAsia" w:ascii="宋体" w:eastAsia="宋体" w:cs="宋体"/>
                <w:kern w:val="0"/>
                <w:sz w:val="24"/>
                <w:lang w:eastAsia="zh-CN"/>
              </w:rPr>
            </w:pPr>
            <w:r>
              <w:rPr>
                <w:rFonts w:hint="eastAsia" w:ascii="宋体" w:eastAsia="宋体" w:cs="宋体"/>
                <w:kern w:val="0"/>
                <w:sz w:val="24"/>
                <w:szCs w:val="21"/>
                <w:lang w:val="en-US" w:eastAsia="zh-CN"/>
              </w:rPr>
              <w:t>招募对象应承诺自2022年1月1日起至本项目招募公示结束时间止，在福建广电网络集团股份有限公司或福建广电网络融媒体科技有限责任公司无不良合同履行记录（提供合作服务承诺函，并加盖单位公章）。若有，其招募文件将被拒绝。</w:t>
            </w:r>
          </w:p>
        </w:tc>
        <w:tc>
          <w:tcPr>
            <w:tcW w:w="1996" w:type="dxa"/>
            <w:noWrap/>
            <w:vAlign w:val="center"/>
          </w:tcPr>
          <w:p w14:paraId="708B1341">
            <w:pPr>
              <w:jc w:val="center"/>
              <w:rPr>
                <w:rFonts w:ascii="宋体"/>
                <w:sz w:val="24"/>
              </w:rPr>
            </w:pPr>
          </w:p>
        </w:tc>
      </w:tr>
      <w:tr w14:paraId="55FA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26" w:type="dxa"/>
            <w:shd w:val="clear" w:color="auto" w:fill="auto"/>
            <w:noWrap/>
            <w:vAlign w:val="center"/>
          </w:tcPr>
          <w:p w14:paraId="271D0001">
            <w:pPr>
              <w:spacing w:line="220" w:lineRule="exact"/>
              <w:ind w:left="0" w:leftChars="0" w:right="0" w:rightChars="0" w:firstLine="0" w:firstLineChars="0"/>
              <w:jc w:val="center"/>
              <w:rPr>
                <w:rFonts w:hint="eastAsia" w:ascii="宋体" w:hAnsi="Calibri" w:eastAsia="宋体" w:cs="Times New Roman"/>
                <w:snapToGrid/>
                <w:color w:val="auto"/>
                <w:spacing w:val="-20"/>
                <w:w w:val="100"/>
                <w:kern w:val="2"/>
                <w:position w:val="0"/>
                <w:sz w:val="24"/>
                <w:szCs w:val="21"/>
                <w:u w:val="none" w:color="auto"/>
                <w:shd w:val="clear" w:color="auto" w:fill="auto"/>
                <w:vertAlign w:val="baseline"/>
                <w:lang w:val="en-US" w:eastAsia="zh-CN" w:bidi="ar-SA"/>
              </w:rPr>
            </w:pPr>
            <w:r>
              <w:rPr>
                <w:rFonts w:hint="eastAsia" w:ascii="宋体"/>
                <w:spacing w:val="-20"/>
                <w:sz w:val="24"/>
                <w:lang w:val="en-US" w:eastAsia="zh-CN"/>
              </w:rPr>
              <w:t>6</w:t>
            </w:r>
          </w:p>
        </w:tc>
        <w:tc>
          <w:tcPr>
            <w:tcW w:w="10097" w:type="dxa"/>
            <w:noWrap/>
            <w:vAlign w:val="center"/>
          </w:tcPr>
          <w:p w14:paraId="4B983265">
            <w:pPr>
              <w:ind w:left="0" w:leftChars="0" w:right="0" w:rightChars="0" w:firstLine="0" w:firstLineChars="0"/>
              <w:jc w:val="left"/>
              <w:rPr>
                <w:rFonts w:hint="eastAsia" w:ascii="宋体" w:eastAsia="宋体" w:cs="宋体"/>
                <w:kern w:val="0"/>
                <w:sz w:val="24"/>
              </w:rPr>
            </w:pPr>
            <w:r>
              <w:rPr>
                <w:rFonts w:hint="eastAsia" w:ascii="宋体" w:eastAsia="宋体" w:cs="宋体"/>
                <w:kern w:val="0"/>
                <w:sz w:val="24"/>
                <w:szCs w:val="21"/>
              </w:rPr>
              <w:t>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tc>
        <w:tc>
          <w:tcPr>
            <w:tcW w:w="1996" w:type="dxa"/>
            <w:noWrap/>
            <w:vAlign w:val="center"/>
          </w:tcPr>
          <w:p w14:paraId="01AB5E59">
            <w:pPr>
              <w:jc w:val="center"/>
              <w:rPr>
                <w:rFonts w:ascii="宋体"/>
                <w:sz w:val="24"/>
              </w:rPr>
            </w:pPr>
          </w:p>
        </w:tc>
      </w:tr>
      <w:tr w14:paraId="6EA1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6" w:type="dxa"/>
            <w:shd w:val="clear" w:color="auto" w:fill="auto"/>
            <w:noWrap/>
            <w:vAlign w:val="center"/>
          </w:tcPr>
          <w:p w14:paraId="6CEED494">
            <w:pPr>
              <w:spacing w:line="220" w:lineRule="exact"/>
              <w:ind w:left="0" w:leftChars="0" w:right="0" w:rightChars="0" w:firstLine="0" w:firstLineChars="0"/>
              <w:jc w:val="center"/>
              <w:rPr>
                <w:rFonts w:hint="eastAsia" w:ascii="宋体" w:hAnsi="Calibri" w:eastAsia="宋体" w:cs="宋体"/>
                <w:snapToGrid/>
                <w:color w:val="auto"/>
                <w:spacing w:val="0"/>
                <w:w w:val="100"/>
                <w:kern w:val="0"/>
                <w:position w:val="0"/>
                <w:sz w:val="24"/>
                <w:szCs w:val="21"/>
                <w:u w:val="none" w:color="auto"/>
                <w:shd w:val="clear" w:color="auto" w:fill="auto"/>
                <w:vertAlign w:val="baseline"/>
                <w:lang w:val="en-US" w:eastAsia="zh-CN" w:bidi="ar-SA"/>
              </w:rPr>
            </w:pPr>
            <w:r>
              <w:rPr>
                <w:rFonts w:hint="eastAsia" w:ascii="宋体" w:cs="宋体"/>
                <w:kern w:val="0"/>
                <w:sz w:val="24"/>
                <w:szCs w:val="21"/>
                <w:lang w:val="en-US" w:eastAsia="zh-CN"/>
              </w:rPr>
              <w:t>7</w:t>
            </w:r>
          </w:p>
        </w:tc>
        <w:tc>
          <w:tcPr>
            <w:tcW w:w="10097" w:type="dxa"/>
            <w:noWrap/>
            <w:vAlign w:val="center"/>
          </w:tcPr>
          <w:p w14:paraId="507C9C5E">
            <w:pPr>
              <w:ind w:left="0" w:leftChars="0" w:right="0" w:rightChars="0" w:firstLine="0" w:firstLineChars="0"/>
              <w:jc w:val="left"/>
              <w:rPr>
                <w:rFonts w:ascii="宋体" w:eastAsia="宋体" w:cs="宋体"/>
                <w:kern w:val="0"/>
                <w:sz w:val="24"/>
                <w:szCs w:val="21"/>
                <w:lang w:val="en-US"/>
              </w:rPr>
            </w:pPr>
            <w:r>
              <w:rPr>
                <w:rFonts w:hint="eastAsia" w:ascii="宋体" w:hAnsi="Calibri" w:eastAsia="宋体" w:cs="宋体"/>
                <w:color w:val="auto"/>
                <w:kern w:val="0"/>
                <w:sz w:val="24"/>
                <w:szCs w:val="21"/>
              </w:rPr>
              <w:t>招募对象应提供投标截止时间前三个月内（不含招募当月）任意一个月的依法缴纳税收和依法缴纳社会保障资金的凭据（加盖单位公章）。</w:t>
            </w:r>
          </w:p>
        </w:tc>
        <w:tc>
          <w:tcPr>
            <w:tcW w:w="1996" w:type="dxa"/>
            <w:noWrap/>
            <w:vAlign w:val="center"/>
          </w:tcPr>
          <w:p w14:paraId="157348F4">
            <w:pPr>
              <w:jc w:val="center"/>
              <w:rPr>
                <w:rFonts w:ascii="宋体"/>
                <w:sz w:val="24"/>
              </w:rPr>
            </w:pPr>
          </w:p>
        </w:tc>
      </w:tr>
      <w:tr w14:paraId="037F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6" w:type="dxa"/>
            <w:noWrap/>
            <w:vAlign w:val="center"/>
          </w:tcPr>
          <w:p w14:paraId="482DA7A3">
            <w:pPr>
              <w:spacing w:line="220" w:lineRule="exact"/>
              <w:jc w:val="center"/>
              <w:rPr>
                <w:rFonts w:hint="eastAsia" w:ascii="宋体" w:eastAsia="宋体" w:cs="宋体"/>
                <w:kern w:val="0"/>
                <w:sz w:val="24"/>
                <w:szCs w:val="21"/>
                <w:lang w:val="en-US" w:eastAsia="zh-CN"/>
              </w:rPr>
            </w:pPr>
            <w:r>
              <w:rPr>
                <w:rFonts w:hint="eastAsia" w:ascii="宋体" w:cs="宋体"/>
                <w:kern w:val="0"/>
                <w:sz w:val="24"/>
                <w:szCs w:val="21"/>
                <w:lang w:val="en-US" w:eastAsia="zh-CN"/>
              </w:rPr>
              <w:t>8</w:t>
            </w:r>
          </w:p>
        </w:tc>
        <w:tc>
          <w:tcPr>
            <w:tcW w:w="10097" w:type="dxa"/>
            <w:noWrap/>
            <w:vAlign w:val="center"/>
          </w:tcPr>
          <w:p w14:paraId="42002783">
            <w:pPr>
              <w:ind w:left="0" w:leftChars="0" w:right="0" w:rightChars="0" w:firstLine="0" w:firstLineChars="0"/>
              <w:jc w:val="left"/>
              <w:rPr>
                <w:rFonts w:hint="eastAsia" w:ascii="宋体" w:hAnsi="Calibri" w:eastAsia="宋体" w:cs="宋体"/>
                <w:color w:val="auto"/>
                <w:kern w:val="0"/>
                <w:sz w:val="24"/>
                <w:szCs w:val="21"/>
              </w:rPr>
            </w:pPr>
            <w:r>
              <w:rPr>
                <w:rFonts w:hint="eastAsia" w:ascii="宋体" w:hAnsi="Calibri" w:eastAsia="宋体" w:cs="宋体"/>
                <w:color w:val="auto"/>
                <w:kern w:val="0"/>
                <w:sz w:val="24"/>
                <w:szCs w:val="21"/>
              </w:rPr>
              <w:t>招募对象应提供投标截止日期前三个月（不含截止日期当月）中任意一个月招募对象为法人或授权代表缴纳的社保证明。</w:t>
            </w:r>
          </w:p>
        </w:tc>
        <w:tc>
          <w:tcPr>
            <w:tcW w:w="1996" w:type="dxa"/>
            <w:noWrap/>
            <w:vAlign w:val="center"/>
          </w:tcPr>
          <w:p w14:paraId="20376406">
            <w:pPr>
              <w:jc w:val="center"/>
              <w:rPr>
                <w:rFonts w:ascii="宋体"/>
                <w:sz w:val="24"/>
              </w:rPr>
            </w:pPr>
          </w:p>
        </w:tc>
      </w:tr>
      <w:tr w14:paraId="0568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0923" w:type="dxa"/>
            <w:gridSpan w:val="2"/>
            <w:noWrap/>
            <w:vAlign w:val="center"/>
          </w:tcPr>
          <w:p w14:paraId="79D13F2C">
            <w:pPr>
              <w:jc w:val="center"/>
              <w:rPr>
                <w:sz w:val="24"/>
              </w:rPr>
            </w:pPr>
            <w:r>
              <w:rPr>
                <w:rFonts w:hint="eastAsia"/>
                <w:b/>
                <w:spacing w:val="-20"/>
                <w:sz w:val="24"/>
              </w:rPr>
              <w:t>结                 论</w:t>
            </w:r>
          </w:p>
        </w:tc>
        <w:tc>
          <w:tcPr>
            <w:tcW w:w="1996" w:type="dxa"/>
            <w:noWrap/>
            <w:vAlign w:val="center"/>
          </w:tcPr>
          <w:p w14:paraId="592E8360">
            <w:pPr>
              <w:jc w:val="center"/>
              <w:rPr>
                <w:rFonts w:hint="eastAsia" w:ascii="宋体"/>
                <w:b/>
                <w:sz w:val="24"/>
              </w:rPr>
            </w:pPr>
          </w:p>
        </w:tc>
      </w:tr>
    </w:tbl>
    <w:p w14:paraId="4A092C28">
      <w:pPr>
        <w:spacing w:line="240" w:lineRule="auto"/>
        <w:rPr>
          <w:rFonts w:hint="eastAsia" w:ascii="黑体" w:eastAsia="黑体" w:cs="黑体"/>
          <w:sz w:val="32"/>
          <w:szCs w:val="32"/>
        </w:rPr>
        <w:sectPr>
          <w:pgSz w:w="16838" w:h="11906" w:orient="landscape"/>
          <w:pgMar w:top="1587" w:right="2098" w:bottom="1474" w:left="1871" w:header="851" w:footer="992" w:gutter="0"/>
          <w:cols w:space="720" w:num="1"/>
          <w:docGrid w:type="lines" w:linePitch="312" w:charSpace="0"/>
        </w:sectPr>
      </w:pPr>
      <w:r>
        <w:rPr>
          <w:rFonts w:hint="eastAsia" w:ascii="宋体"/>
        </w:rPr>
        <w:t>1、表中“√”表示“符合招募文件要求”，“×”表示“不符合招募文件要求”。  2、在结论栏中仅填写“合格”或“不合</w:t>
      </w:r>
    </w:p>
    <w:p w14:paraId="6F0EE13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3627F"/>
    <w:rsid w:val="68C36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2025-06-10T01:32:00Z</dcterms:created>
  <dc:creator>抖斗</dc:creator>
  <cp:lastModifiedBy>抖斗</cp:lastModifiedBy>
  <dcterms:modified xsi:type="dcterms:W3CDTF">2025-06-10T01:32:23Z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359560E096644DFFAA640D2B7C6C4A68_11</vt:lpwstr>
  </property>
  <property fmtid="{D5CDD505-2E9C-101B-9397-08002B2CF9AE}" pid="4" name="KSOTemplateDocerSaveRecord">
    <vt:lpwstr>eyJoZGlkIjoiMzBmNWQwYzcxMTJlNGYwODMzODhmNmU3MGJiYzhjZmYiLCJ1c2VySWQiOiIyNjA4MjUxODYifQ==</vt:lpwstr>
  </property>
</Properties>
</file>