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3530">
      <w:pPr>
        <w:spacing w:line="580" w:lineRule="exact"/>
        <w:rPr>
          <w:rFonts w:hint="eastAsia" w:ascii="黑体" w:eastAsia="黑体" w:cs="黑体"/>
          <w:sz w:val="32"/>
          <w:szCs w:val="32"/>
        </w:rPr>
      </w:pPr>
      <w:bookmarkStart w:id="0" w:name="_GoBack"/>
      <w:r>
        <w:rPr>
          <w:rFonts w:hint="eastAsia" w:ascii="黑体" w:eastAsia="黑体" w:cs="黑体"/>
          <w:sz w:val="32"/>
          <w:szCs w:val="32"/>
        </w:rPr>
        <w:t>附件：合作方招募评分规则</w:t>
      </w:r>
    </w:p>
    <w:bookmarkEnd w:id="0"/>
    <w:p w14:paraId="72441A1C"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本次招募采用综合评分法，根据以下标准和方法对通过资格审查的意向合作方进行评议。广网融科公司经营评审小组将对意向合作方从企业综合实力部分、分成比例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kern w:val="0"/>
          <w:sz w:val="32"/>
          <w:szCs w:val="32"/>
        </w:rPr>
        <w:t>个部分别进行打分，计算出各意向合作方的综合得分。按综合得分从高到低的顺序进行排名，若有相同的综合得分，则其中分成比例得分高的排序在前；若分成比例得分相同，则企业综合实力得分高的排序在前；若前述情况仍是相同，则由广网融科公司经营评审小组记名投票确认合作方排序，推荐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入围</w:t>
      </w:r>
      <w:r>
        <w:rPr>
          <w:rFonts w:hint="eastAsia" w:ascii="仿宋_GB2312" w:eastAsia="仿宋_GB2312"/>
          <w:kern w:val="0"/>
          <w:sz w:val="32"/>
          <w:szCs w:val="32"/>
        </w:rPr>
        <w:t>人情形及数量如下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：</w:t>
      </w:r>
    </w:p>
    <w:p w14:paraId="58E85DCA">
      <w:pPr>
        <w:spacing w:line="580" w:lineRule="exact"/>
        <w:ind w:firstLine="640" w:firstLineChars="200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（1）合格投标人数量小于等于三家，按照推荐综合得分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75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分以上入围。若无</w:t>
      </w:r>
      <w:r>
        <w:rPr>
          <w:rFonts w:hint="eastAsia" w:ascii="仿宋_GB2312" w:eastAsia="仿宋_GB2312"/>
          <w:kern w:val="0"/>
          <w:sz w:val="32"/>
          <w:szCs w:val="32"/>
        </w:rPr>
        <w:t>75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 xml:space="preserve"> 分以上投标人，按照推荐综合得分前两名入围。</w:t>
      </w:r>
    </w:p>
    <w:p w14:paraId="1D840C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640" w:firstLineChars="2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（2） 合格投标人数量为三至六家，推荐综合得分前三名为入围。</w:t>
      </w:r>
    </w:p>
    <w:p w14:paraId="05FADD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640" w:firstLineChars="2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 xml:space="preserve">（3）合格投标人数量大于七家，推荐综合得分前五名入围。 </w:t>
      </w:r>
    </w:p>
    <w:p w14:paraId="642A354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各部分评分分值分布如下：</w:t>
      </w:r>
    </w:p>
    <w:p w14:paraId="3B27478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A：价格方面满分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0分</w:t>
      </w:r>
    </w:p>
    <w:p w14:paraId="3AD70B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B：过往案例方面满分10分</w:t>
      </w:r>
    </w:p>
    <w:p w14:paraId="5534D8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C：服务方面满分1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</w:t>
      </w:r>
    </w:p>
    <w:p w14:paraId="72E5C87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D：</w:t>
      </w:r>
      <w:r>
        <w:rPr>
          <w:rFonts w:hint="eastAsia" w:ascii="仿宋_GB2312" w:eastAsia="仿宋_GB2312"/>
          <w:kern w:val="0"/>
          <w:sz w:val="32"/>
          <w:szCs w:val="32"/>
        </w:rPr>
        <w:t>综合实力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方面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满分3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分</w:t>
      </w:r>
    </w:p>
    <w:p w14:paraId="712239B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960" w:firstLineChars="300"/>
        <w:jc w:val="both"/>
        <w:rPr>
          <w:rFonts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eastAsia="zh-CN"/>
        </w:rPr>
        <w:t>综合评分</w:t>
      </w:r>
      <w:r>
        <w:rPr>
          <w:rFonts w:hint="eastAsia" w:ascii="仿宋_GB2312" w:eastAsia="仿宋_GB2312" w:cs="Times New Roman"/>
          <w:b w:val="0"/>
          <w:bCs w:val="0"/>
          <w:caps w:val="0"/>
          <w:smallCaps w:val="0"/>
          <w:vanish w:val="0"/>
          <w:spacing w:val="0"/>
          <w:kern w:val="0"/>
          <w:sz w:val="32"/>
          <w:szCs w:val="32"/>
          <w:lang w:val="en-US" w:eastAsia="zh-CN"/>
        </w:rPr>
        <w:t>Q=A+B+C+D</w:t>
      </w:r>
    </w:p>
    <w:p w14:paraId="26954A2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before="0" w:beforeAutospacing="0" w:after="0" w:afterAutospacing="0" w:line="380" w:lineRule="exact"/>
        <w:ind w:left="0" w:right="0" w:firstLine="0"/>
        <w:jc w:val="both"/>
        <w:rPr>
          <w:rFonts w:hint="eastAsia" w:ascii="黑体" w:eastAsia="黑体" w:cs="Times New Roman"/>
          <w:b w:val="0"/>
          <w:bCs w:val="0"/>
          <w:caps w:val="0"/>
          <w:smallCaps w:val="0"/>
          <w:vanish w:val="0"/>
          <w:spacing w:val="0"/>
          <w:kern w:val="2"/>
          <w:sz w:val="28"/>
          <w:szCs w:val="28"/>
        </w:rPr>
      </w:pPr>
    </w:p>
    <w:tbl>
      <w:tblPr>
        <w:tblStyle w:val="3"/>
        <w:tblW w:w="894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93"/>
        <w:gridCol w:w="2865"/>
        <w:gridCol w:w="3999"/>
      </w:tblGrid>
      <w:tr w14:paraId="4F5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FA0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28A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评分条件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1D4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2F6C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分值范围和说明</w:t>
            </w:r>
          </w:p>
        </w:tc>
      </w:tr>
      <w:tr w14:paraId="6140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88" w:type="dxa"/>
            <w:vAlign w:val="center"/>
          </w:tcPr>
          <w:p w14:paraId="608ED998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dxa"/>
            <w:vAlign w:val="center"/>
          </w:tcPr>
          <w:p w14:paraId="6CA09FCE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价格方面</w:t>
            </w:r>
          </w:p>
          <w:p w14:paraId="5908C2E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57FD31C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将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能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提供旅行社自有的一系列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旅游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路线及方案。基于此郑重承诺，将按照约定的项目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销售利润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分成比例，与广网融科公司进行分配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eastAsia="zh-CN"/>
              </w:rPr>
              <w:t>，并出具承诺函</w:t>
            </w:r>
            <w:r>
              <w:rPr>
                <w:rFonts w:hint="eastAsia" w:ascii="宋体" w:eastAsia="宋体" w:cs="Times New Roman"/>
                <w:i w:val="0"/>
                <w:iCs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</w:rPr>
              <w:t>。</w:t>
            </w:r>
          </w:p>
          <w:p w14:paraId="69C6190A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999" w:type="dxa"/>
            <w:vAlign w:val="center"/>
          </w:tcPr>
          <w:p w14:paraId="22FD46B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将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能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提供旅行社自有的一系列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旅游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路线及方案。基于此郑重承诺，将按照约定的项目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销售利润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分成比例，与广网融科公司进行分配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  <w:lang w:eastAsia="zh-CN"/>
              </w:rPr>
              <w:t>，并出具承诺函</w:t>
            </w:r>
            <w:r>
              <w:rPr>
                <w:rFonts w:ascii="Calibri" w:hAnsi="Calibri" w:eastAsia="宋体" w:cs="Times New Roman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shd w:val="clear" w:color="auto" w:fill="auto"/>
              </w:rPr>
              <w:t>。</w:t>
            </w:r>
          </w:p>
          <w:p w14:paraId="6535B8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评分方法如下：</w:t>
            </w:r>
          </w:p>
          <w:p w14:paraId="2201097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（1）分成占比基准值的确定：</w:t>
            </w:r>
          </w:p>
          <w:p w14:paraId="44DFB03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①当合格合作方数量＜5时，分成占比基准值＝所有合格合作方承诺的分成占比算数平均值；</w:t>
            </w:r>
          </w:p>
          <w:p w14:paraId="6582384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②当5≤合格合作方＜7时，去掉一个最高合格合作方承诺的分成占比、去掉一个最低合格合作方承诺的分成占比，分成占比基准值＝余下合格合作方承诺的分成占比算数平均值；</w:t>
            </w:r>
          </w:p>
          <w:p w14:paraId="6BA37A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（2）分成比例得分的计算：</w:t>
            </w:r>
          </w:p>
          <w:p w14:paraId="49B8CE4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①当合作方承诺的分成占比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=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分成占比基准值时，分成比例得分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等于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50分；</w:t>
            </w:r>
          </w:p>
          <w:p w14:paraId="048C4F2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②当合作方承诺的分成占比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＞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分成占比基准值时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，得分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=</w:t>
            </w:r>
            <w:r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  <w:t> 50 - (合作方分成占比 - 分成占比基准值) ×</w:t>
            </w:r>
            <w:r>
              <w:rPr>
                <w:rFonts w:hint="eastAsia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ascii="Calibri" w:hAnsi="Calibri" w:eastAsia="宋体" w:cs="Times New Roman"/>
                <w:b w:val="0"/>
                <w:i w:val="0"/>
                <w:iCs w:val="0"/>
                <w:caps w:val="0"/>
                <w:smallCaps w:val="0"/>
                <w:color w:val="auto"/>
                <w:spacing w:val="-6"/>
                <w:sz w:val="21"/>
                <w:szCs w:val="21"/>
              </w:rPr>
              <w:t>0</w:t>
            </w:r>
          </w:p>
          <w:p w14:paraId="7418972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③当合作方承诺的分成占比＜分成占比基准值时，分成比例得分＝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5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0-</w:t>
            </w:r>
          </w:p>
          <w:p w14:paraId="134C6A8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（分成占比基准值-合作方分成占比）×</w:t>
            </w:r>
            <w:r>
              <w:rPr>
                <w:rFonts w:hint="eastAsia"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3</w:t>
            </w:r>
            <w:r>
              <w:rPr>
                <w:rFonts w:cs="Times New Roman"/>
                <w:b w:val="0"/>
                <w:bCs w:val="0"/>
                <w:spacing w:val="-6"/>
                <w:kern w:val="2"/>
                <w:szCs w:val="21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。</w:t>
            </w:r>
          </w:p>
          <w:p w14:paraId="6CBF299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 w:val="0"/>
                <w:bCs w:val="0"/>
                <w:spacing w:val="-6"/>
                <w:kern w:val="2"/>
                <w:szCs w:val="21"/>
                <w:lang w:eastAsia="zh-CN"/>
              </w:rPr>
              <w:t>注：合作方需提供相关分成比例的合作服务承诺函，并加盖单位公章,否则本项不得分。</w:t>
            </w:r>
          </w:p>
        </w:tc>
      </w:tr>
      <w:tr w14:paraId="4455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788" w:type="dxa"/>
            <w:vAlign w:val="center"/>
          </w:tcPr>
          <w:p w14:paraId="1532A37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93" w:type="dxa"/>
            <w:vAlign w:val="center"/>
          </w:tcPr>
          <w:p w14:paraId="56B7A5E1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过往案例</w:t>
            </w:r>
            <w:r>
              <w:rPr>
                <w:rFonts w:hint="eastAsia" w:ascii="宋体"/>
                <w:kern w:val="0"/>
                <w:sz w:val="24"/>
                <w:szCs w:val="24"/>
              </w:rPr>
              <w:t>方面</w:t>
            </w:r>
          </w:p>
          <w:p w14:paraId="35897BF9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48A723B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合作方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具有202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-2024年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旅游活动</w:t>
            </w:r>
            <w:r>
              <w:rPr>
                <w:rFonts w:hint="eastAsia" w:ascii="宋体" w:cs="Times New Roman"/>
                <w:kern w:val="0"/>
                <w:sz w:val="24"/>
                <w:szCs w:val="24"/>
              </w:rPr>
              <w:t>合作案例</w:t>
            </w:r>
          </w:p>
        </w:tc>
        <w:tc>
          <w:tcPr>
            <w:tcW w:w="3999" w:type="dxa"/>
            <w:vAlign w:val="center"/>
          </w:tcPr>
          <w:p w14:paraId="265561F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每提供一个案例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得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分，本项满分</w:t>
            </w:r>
            <w:r>
              <w:rPr>
                <w:rFonts w:ascii="宋体" w:cs="宋体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分。</w:t>
            </w:r>
          </w:p>
          <w:p w14:paraId="79225E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注：合作方需提供相关合同关键页</w:t>
            </w:r>
          </w:p>
          <w:p w14:paraId="24AC95E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（至少包含合同首页、运营支撑内容详情页、签字盖章页</w:t>
            </w: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  <w:lang w:eastAsia="zh-CN"/>
              </w:rPr>
              <w:t>及合同对应的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highlight w:val="none"/>
              </w:rPr>
              <w:t>发票</w:t>
            </w:r>
            <w:r>
              <w:rPr>
                <w:rFonts w:hint="eastAsia" w:ascii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eastAsia="宋体" w:cs="宋体"/>
                <w:kern w:val="0"/>
                <w:sz w:val="21"/>
                <w:szCs w:val="21"/>
                <w:highlight w:val="none"/>
              </w:rPr>
              <w:t>银行回单</w:t>
            </w:r>
            <w:r>
              <w:rPr>
                <w:rFonts w:hint="eastAsia" w:ascii="宋体" w:cs="宋体"/>
                <w:b w:val="0"/>
                <w:bCs w:val="0"/>
                <w:kern w:val="0"/>
                <w:szCs w:val="21"/>
                <w:highlight w:val="none"/>
              </w:rPr>
              <w:t>）复印件并加盖合作方单位公章，否则该项不得分。</w:t>
            </w:r>
          </w:p>
        </w:tc>
      </w:tr>
    </w:tbl>
    <w:p w14:paraId="67DF6E27">
      <w:pPr>
        <w:jc w:val="center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br w:type="page"/>
      </w:r>
    </w:p>
    <w:tbl>
      <w:tblPr>
        <w:tblStyle w:val="3"/>
        <w:tblW w:w="8945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93"/>
        <w:gridCol w:w="2865"/>
        <w:gridCol w:w="3999"/>
      </w:tblGrid>
      <w:tr w14:paraId="61D1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D7CD"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708E">
            <w:pPr>
              <w:jc w:val="center"/>
              <w:rPr>
                <w:rFonts w:hint="eastAsia" w:asci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方面</w:t>
            </w:r>
          </w:p>
          <w:p w14:paraId="44410C91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DC8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eastAsia="zh-CN"/>
              </w:rPr>
              <w:t>根据供应商的服务承诺函等相关文件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ED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spacing w:val="0"/>
                <w:kern w:val="0"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宋体" w:cs="宋体"/>
                <w:b w:val="0"/>
                <w:bCs w:val="0"/>
                <w:spacing w:val="0"/>
                <w:kern w:val="0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</w:rPr>
              <w:t>合作服务承诺函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，得</w:t>
            </w:r>
            <w:r>
              <w:rPr>
                <w:rFonts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  <w:p w14:paraId="70632D6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hint="eastAsia"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②提供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接受垫资承诺函，得</w:t>
            </w:r>
            <w:r>
              <w:rPr>
                <w:rFonts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cs="宋体"/>
                <w:b w:val="0"/>
                <w:bCs w:val="0"/>
                <w:caps w:val="0"/>
                <w:smallCaps w:val="0"/>
                <w:vanish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  <w:p w14:paraId="488E644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rPr>
                <w:rFonts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smallCaps w:val="0"/>
                <w:spacing w:val="-6"/>
                <w:sz w:val="21"/>
                <w:szCs w:val="21"/>
                <w:shd w:val="clear" w:color="auto" w:fill="auto"/>
                <w:lang w:val="en-US" w:eastAsia="zh-CN"/>
              </w:rPr>
              <w:t>该项满分10分。</w:t>
            </w:r>
          </w:p>
        </w:tc>
      </w:tr>
      <w:tr w14:paraId="0E4A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788" w:type="dxa"/>
            <w:vAlign w:val="center"/>
          </w:tcPr>
          <w:p w14:paraId="0230499B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14:paraId="6988C84C">
            <w:pPr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综合实力</w:t>
            </w:r>
          </w:p>
          <w:p w14:paraId="3ABF7DF4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ascii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/>
                <w:kern w:val="0"/>
                <w:sz w:val="24"/>
                <w:szCs w:val="24"/>
              </w:rPr>
              <w:t>分</w:t>
            </w: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865" w:type="dxa"/>
            <w:vAlign w:val="center"/>
          </w:tcPr>
          <w:p w14:paraId="59FB53A3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按供应商在响应文件综合评审阶段的综合实力得分</w:t>
            </w:r>
          </w:p>
        </w:tc>
        <w:tc>
          <w:tcPr>
            <w:tcW w:w="3999" w:type="dxa"/>
            <w:vAlign w:val="center"/>
          </w:tcPr>
          <w:p w14:paraId="068D029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 w:val="0"/>
                <w:bCs w:val="0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eastAsia="宋体" w:cs="宋体"/>
                <w:b w:val="0"/>
                <w:bCs w:val="0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资产总额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（合作方需提供年度审计报告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第三方审计机构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出具的财务报表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，并加盖合作方单位公章）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，该项满分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val="en-US" w:eastAsia="zh-CN"/>
              </w:rPr>
              <w:t>5分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：</w:t>
            </w:r>
          </w:p>
          <w:p w14:paraId="496FFC2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不少于 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 万元 ，得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分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；</w:t>
            </w:r>
          </w:p>
          <w:p w14:paraId="5242331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不少于 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100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 万元，得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 xml:space="preserve">分 </w:t>
            </w:r>
          </w:p>
          <w:p w14:paraId="2EE1A8B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  <w:p w14:paraId="6C57082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②2023年、2024年营业年平均收入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（合作方需提供年度审计报告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第三方审计机构</w:t>
            </w:r>
            <w:r>
              <w:rPr>
                <w:rFonts w:hint="eastAsia" w:ascii="宋体" w:cs="宋体"/>
                <w:kern w:val="0"/>
                <w:szCs w:val="21"/>
                <w:highlight w:val="none"/>
                <w:lang w:eastAsia="zh-CN"/>
              </w:rPr>
              <w:t>出具的财务报表</w:t>
            </w:r>
            <w:r>
              <w:rPr>
                <w:rFonts w:hint="eastAsia" w:ascii="宋体" w:cs="宋体"/>
                <w:kern w:val="0"/>
                <w:szCs w:val="21"/>
                <w:highlight w:val="none"/>
              </w:rPr>
              <w:t>，并加盖合作方单位公章）</w:t>
            </w: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，该项满分10分：</w:t>
            </w:r>
          </w:p>
          <w:p w14:paraId="6538BF0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不少于100万元，得3分；</w:t>
            </w:r>
          </w:p>
          <w:p w14:paraId="3A3B54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不少于500万元，得5分；</w:t>
            </w:r>
          </w:p>
          <w:p w14:paraId="513CCD4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不少于1000万元，得8分；</w:t>
            </w:r>
          </w:p>
          <w:p w14:paraId="3A5A21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不少于2000万元，得10分；</w:t>
            </w:r>
          </w:p>
          <w:p w14:paraId="6E4CDE1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少于100万元该项不得分</w:t>
            </w:r>
          </w:p>
          <w:p w14:paraId="52B7A1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</w:p>
          <w:p w14:paraId="4BB546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napToGrid/>
                <w:color w:val="auto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 w:color="auto"/>
                <w:shd w:val="clear" w:color="auto" w:fill="auto"/>
                <w:vertAlign w:val="baseline"/>
                <w:lang w:val="en-US" w:eastAsia="zh-CN"/>
              </w:rPr>
              <w:t>③</w:t>
            </w:r>
            <w:r>
              <w:rPr>
                <w:rFonts w:hint="eastAsia" w:ascii="宋体"/>
                <w:szCs w:val="21"/>
              </w:rPr>
              <w:t>公司人数</w:t>
            </w:r>
            <w:r>
              <w:rPr>
                <w:rFonts w:hint="eastAsia" w:ascii="宋体"/>
                <w:szCs w:val="21"/>
                <w:lang w:eastAsia="zh-CN"/>
              </w:rPr>
              <w:t>，该项满分</w:t>
            </w:r>
            <w:r>
              <w:rPr>
                <w:rFonts w:hint="eastAsia" w:ascii="宋体"/>
                <w:szCs w:val="21"/>
                <w:lang w:val="en-US" w:eastAsia="zh-CN"/>
              </w:rPr>
              <w:t>3分：</w:t>
            </w:r>
          </w:p>
          <w:p w14:paraId="705A859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不少于50人，得1分</w:t>
            </w:r>
          </w:p>
          <w:p w14:paraId="7E572C4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不少于100人，得3分</w:t>
            </w:r>
          </w:p>
          <w:p w14:paraId="610220B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jc w:val="left"/>
              <w:textAlignment w:val="auto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低于50人，该项不得分。</w:t>
            </w:r>
          </w:p>
          <w:p w14:paraId="1B94557B">
            <w:pPr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14:paraId="3F76C9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kern w:val="2"/>
                <w:sz w:val="21"/>
                <w:szCs w:val="21"/>
                <w:lang w:eastAsia="zh-CN"/>
              </w:rPr>
              <w:t>④提</w:t>
            </w:r>
            <w:r>
              <w:rPr>
                <w:rFonts w:hint="eastAsia" w:ascii="宋体"/>
                <w:szCs w:val="21"/>
                <w:lang w:val="en-US" w:eastAsia="zh-CN"/>
              </w:rPr>
              <w:t>供公司专利证书、著作权证书或与景区、博物馆、非遗工坊、酒店建立长期合作（提供相关证明材料复印件，并加公章，原件备查。）提供一项得2分，满分10分。</w:t>
            </w:r>
          </w:p>
          <w:p w14:paraId="17C09D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  <w:p w14:paraId="1465370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suppressAutoHyphens w:val="0"/>
              <w:jc w:val="left"/>
              <w:textAlignment w:val="auto"/>
              <w:rPr>
                <w:rFonts w:asci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⑤过往与福建广电网络集团（含各分、子公司）有过合作经验的（提供合同或订单证明），得2分。</w:t>
            </w:r>
          </w:p>
        </w:tc>
      </w:tr>
    </w:tbl>
    <w:p w14:paraId="0B2E0BEA"/>
    <w:p w14:paraId="746A0A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1334C"/>
    <w:rsid w:val="6DD1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2025-06-10T01:32:00Z</dcterms:created>
  <dc:creator>抖斗</dc:creator>
  <cp:lastModifiedBy>抖斗</cp:lastModifiedBy>
  <dcterms:modified xsi:type="dcterms:W3CDTF">2025-06-10T01:32:53Z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D320CD689C1D44419B7DE9E865FCE689_11</vt:lpwstr>
  </property>
  <property fmtid="{D5CDD505-2E9C-101B-9397-08002B2CF9AE}" pid="4" name="KSOTemplateDocerSaveRecord">
    <vt:lpwstr>eyJoZGlkIjoiMzBmNWQwYzcxMTJlNGYwODMzODhmNmU3MGJiYzhjZmYiLCJ1c2VySWQiOiIyNjA4MjUxODYifQ==</vt:lpwstr>
  </property>
</Properties>
</file>