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9A77">
      <w:pPr>
        <w:spacing w:line="400" w:lineRule="exact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福建广电网络集团泉州分公司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诉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讼案件代理</w:t>
      </w:r>
      <w:r>
        <w:rPr>
          <w:rFonts w:hint="eastAsia" w:ascii="宋体" w:hAnsi="宋体" w:cs="Arial"/>
          <w:b/>
          <w:bCs/>
          <w:sz w:val="28"/>
          <w:szCs w:val="28"/>
        </w:rPr>
        <w:t>服务</w:t>
      </w:r>
      <w:r>
        <w:rPr>
          <w:rFonts w:hint="eastAsia" w:ascii="宋体" w:hAnsi="宋体" w:cs="Arial"/>
          <w:b/>
          <w:bCs/>
          <w:sz w:val="28"/>
          <w:szCs w:val="28"/>
          <w:lang w:eastAsia="zh-CN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文件</w:t>
      </w:r>
    </w:p>
    <w:p w14:paraId="7513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rPr>
          <w:rFonts w:hint="eastAsia" w:ascii="宋体" w:hAnsi="宋体" w:cs="Arial"/>
          <w:sz w:val="24"/>
        </w:rPr>
      </w:pPr>
    </w:p>
    <w:p w14:paraId="77797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我司现拟对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一项建设工程施工合同纠纷案件一审、二审（若有）代理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案件标的额约89.75万元，案件管辖法院为泉州市丰泽区人民法院，开庭时间2025年6月19日。报价应包含法院一审、二审（若有）律师代理服务费、差旅费、食宿费等完成代理服务所需全部费用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。本次采用低价中选法，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以一审报价最低者中选，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一审报价不超过15000元，一审、二审合计报价不超过20000元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8C4B935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基本资格标准：</w:t>
      </w:r>
    </w:p>
    <w:p w14:paraId="7B3D584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(1)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应是依据中国法律注册成立，具备国家行业主管部门颁发有效执业资格的律师事务所【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文件中提供有效的律所执业许可证副本复印件（含年检记录页）并加盖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单位公章】。</w:t>
      </w:r>
    </w:p>
    <w:p w14:paraId="15D4CC5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(2)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前三年内（2022年1月1日起至本项目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截止之日止）应在经营活动中没有重大违法记录、未有过刑事犯罪记录、未受到律师行业协会处分（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文件中出具书面声明：2022年1月1日起至本项目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截止之日止在执业活动中没有重大违法违规记录；未因违法经营受到刑事处罚或被行业主管部门责令停产停业、吊销许可证或执照、较大数额罚款等行政处罚；无犯罪记录；未受到律师行业协会处分。声明应加盖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单位公章）。</w:t>
      </w:r>
    </w:p>
    <w:p w14:paraId="6AC9C24E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备注：本项目“较大数额罚款”按财库〔2022〕3号文认定为200万元以上的罚款。</w:t>
      </w:r>
    </w:p>
    <w:p w14:paraId="6F5C3C52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(3) 人员要求：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应成立人数为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人或以上的法律服务团队为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人提供案件代理服务，团队成员应均为执业律师，律师需执业10年或以上。团队成员要求职业道德良好，无执业违法违规记录【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件中提供服务团队成员名单和在有效期内的律师执业证书（含年检页）；并书面承诺：服务团队成员职业道德良好，在执业活动中没有违法违规记录，未受到律师行业协会处分，未受到刑事处罚或行政处罚，无犯罪记录。以上材料均应加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单位公章】。</w:t>
      </w:r>
    </w:p>
    <w:p w14:paraId="60581279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注：律师执业年限计算方式为“2025-执业证书上年度代码标记的年份”，例如：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执业证书标记年份为2021，则其执业年限为：2025-2021=4年。</w:t>
      </w:r>
    </w:p>
    <w:p w14:paraId="479980F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(4)两家或多家参与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，如单位负责人为同一人或者存在控股、管理关系的，不得同时参与本项目的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4FCA9BF7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(5)本次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不接受联合体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0A9F8777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二、服务要求</w:t>
      </w:r>
    </w:p>
    <w:p w14:paraId="6344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（1）按照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要求向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提供法律服务方案。</w:t>
      </w:r>
    </w:p>
    <w:p w14:paraId="4777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（2）根据案件特点处理诉讼等一切案件相关事务，并跟踪案件全流程。</w:t>
      </w:r>
    </w:p>
    <w:p w14:paraId="6152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（3）应邀参与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案件召开的专题会议，分析并提供相关法律意见。</w:t>
      </w:r>
    </w:p>
    <w:p w14:paraId="26FD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（4）根据案件需要，指导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收集案件相关证据，整理案件清单。对已经提交的证据需要补充完善的地方，分析和提示要证明案件事实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还需协助提交的相关证据等内容，提出在取证方面当事人还需配合的其他事务等。</w:t>
      </w:r>
    </w:p>
    <w:p w14:paraId="33C2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）起草和准备案件材料，包括但不限于授权委托书、民事答辩状、书面代理意见、答辩意见、证据目录及说明、相关申请书等。    </w:t>
      </w:r>
    </w:p>
    <w:p w14:paraId="4B7B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）若案件需调解/和解，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应全程参与指导调解/和解工作，保护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合法权益。</w:t>
      </w:r>
    </w:p>
    <w:p w14:paraId="78D2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）案件结案后，应围绕其所代理的案件在10个工作日内形成案件报告并提交给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50A44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）应负责其所代理案件的归档工作，根据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要求整理案卷档案纸质版并扫描电子版留存，确保一案一档。</w:t>
      </w:r>
    </w:p>
    <w:p w14:paraId="1AB1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三、考核</w:t>
      </w:r>
    </w:p>
    <w:p w14:paraId="00226B32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案件结案后，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将对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所提供的服务进行考核，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应积极配合。考核由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所涉案件相关部门分别进行，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eastAsia="zh-CN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的最终考核得分为各部门考核分的平均分。</w:t>
      </w:r>
    </w:p>
    <w:p w14:paraId="43770759">
      <w:pPr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</w:rPr>
        <w:t>考核得分总分为100分，得分在80分（含）以上的，则全额支付委托代理合同约定的当次代理费用；得分低于80分的，每低1分，扣除当次代理费用的1.25 %；考核得分分值为非整数的，则四舍五入小数点后数字取整数进行结算。考核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如下：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977"/>
        <w:gridCol w:w="567"/>
        <w:gridCol w:w="3543"/>
        <w:gridCol w:w="567"/>
        <w:gridCol w:w="573"/>
      </w:tblGrid>
      <w:tr w14:paraId="6618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903397">
            <w:pPr>
              <w:widowControl/>
              <w:jc w:val="center"/>
              <w:textAlignment w:val="center"/>
              <w:rPr>
                <w:rFonts w:ascii="宋体"/>
                <w:sz w:val="36"/>
                <w:szCs w:val="36"/>
              </w:rPr>
            </w:pPr>
            <w:r>
              <w:rPr>
                <w:rFonts w:hint="eastAsia" w:ascii="宋体"/>
                <w:kern w:val="0"/>
                <w:sz w:val="36"/>
                <w:szCs w:val="36"/>
              </w:rPr>
              <w:t>法律纠纷案件代理法律服务考核表</w:t>
            </w:r>
          </w:p>
        </w:tc>
      </w:tr>
      <w:tr w14:paraId="27AE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9D03FC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服务团队成员：</w:t>
            </w:r>
          </w:p>
        </w:tc>
      </w:tr>
      <w:tr w14:paraId="0BC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788709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154A9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9C2EB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分数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377DF3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E79F2E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评分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D281A0">
            <w:pPr>
              <w:widowControl/>
              <w:jc w:val="center"/>
              <w:textAlignment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0D5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3AC77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33B9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指派业务能力和综合实力较强的律师代理各类诉讼、仲裁、执行等案件，并跟踪案件全流程。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10A542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A0935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1.是否有效维护甲方合法权益（5分）；</w:t>
            </w:r>
          </w:p>
          <w:p w14:paraId="5E40801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2.无正当理由拒不提供约定服务超过三个工作日（5分）；</w:t>
            </w:r>
          </w:p>
          <w:p w14:paraId="6B7DC66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3.怠于跟踪案件进度，一般接到甲方指令后不超过2个自然日（5分）。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0EFB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88C2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622F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5AE3F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FA8C3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根据案件情况研判，进行法律风险分析并出具法律意见书和细化的法律服务方案（出具相关材料的时限一般应不超过2个工作日）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E0FD75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83A2F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1.是否及时出具法律意见书和法律服务方案，出具相关材料的时限一般为3个工作日内，紧急情况下为2个工作日内（8分）；</w:t>
            </w:r>
          </w:p>
          <w:p w14:paraId="0C8CFE42">
            <w:pPr>
              <w:pStyle w:val="6"/>
              <w:widowControl/>
              <w:spacing w:after="0"/>
              <w:rPr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2.提供的法律意见书和法律服务方案的内容质量（7分）。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2F41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A95C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5748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0CC19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02D7D6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应邀参与甲方针对相关案件召开的专题会议，分析并提供相关法律意见。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1F1725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79739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1.是否根据甲方要求及时参加相关会议（10分）；</w:t>
            </w:r>
            <w:r>
              <w:rPr>
                <w:rFonts w:hint="eastAsia" w:ascii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/>
                <w:kern w:val="0"/>
                <w:sz w:val="20"/>
                <w:szCs w:val="20"/>
              </w:rPr>
              <w:t>2.会议过程中对法律问题的分析论证情况（10分）。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0122B4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9D015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0E5F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83B46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869EEF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根据案件需要，指导甲方收集案件相关证据，整理案件清单。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8BFAA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1B0174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1.对已经提交的证据需要补充完善的地方，分析和提示要证明案件事实甲方还需协助提交的相关证据等内容（5分）；</w:t>
            </w:r>
          </w:p>
          <w:p w14:paraId="4713887F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2.提出在取证方面甲方还需配合的其它事务等（5分）。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68434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EAF900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2304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81B6F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169F6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若案件需调解/和解，乙方应全程参与指导调解/和解工作，保护甲方合法权益。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9AC6ED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E53A7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1.是否有效维护甲方合法权益（3分）；</w:t>
            </w:r>
          </w:p>
          <w:p w14:paraId="2B6C1A8A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2.是否参与全程（2分）；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42F70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C7C2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132B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644D6C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FB2C7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结案后，围绕代理案件形成案件报告提交给甲方。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65B73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F32C7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1.是否在10个工作日内提交案件报告（8分）；</w:t>
            </w:r>
          </w:p>
          <w:p w14:paraId="205BDAA1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2.案件报告撰写的质量（7分）。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DF204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E5990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0C322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B2878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C42C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结合为集团办理的法律实务，总结编辑典型案例剖析，及时分析甲方工作涉法注意事项，以指导甲方改进日常工作。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9EB0A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A9AF2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1.是否及时提供典型案例剖析及涉法注意事项分析（5分）；</w:t>
            </w:r>
          </w:p>
          <w:p w14:paraId="52773E9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2.提供的总结材料质量（5分）。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8BFF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D8EE13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49AC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2C9FE2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E9F35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负责案件归档工作，根据甲方要求整理案卷档案纸质版并扫描电子版留存，确保一案一档。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2E82B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9140C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1.是否及时归档（3分）；</w:t>
            </w:r>
          </w:p>
          <w:p w14:paraId="0262F67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2.案件材料是否有缺漏（3分）；</w:t>
            </w:r>
          </w:p>
          <w:p w14:paraId="2996E2F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3.是否按照要求做到一案一档（4分）。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8EEBFE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001EDB">
            <w:pPr>
              <w:widowControl/>
              <w:textAlignment w:val="center"/>
              <w:rPr>
                <w:rFonts w:ascii="宋体"/>
                <w:sz w:val="20"/>
                <w:szCs w:val="20"/>
              </w:rPr>
            </w:pPr>
          </w:p>
        </w:tc>
      </w:tr>
      <w:tr w14:paraId="6413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A134E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考核得分总分为100分，得分在80分（含）以上的，则全额支付当次代理费用；得分低于80分的，每低1分，扣除当次代理费用的1.25%；考核得分分值为非整数的，则四舍五入小数点后数字取整数进行结算。</w:t>
            </w:r>
          </w:p>
        </w:tc>
      </w:tr>
      <w:tr w14:paraId="6ABB8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C02E42">
            <w:pPr>
              <w:widowControl/>
              <w:jc w:val="left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违约情形说明（如无违约情况请填写无）：</w:t>
            </w:r>
          </w:p>
        </w:tc>
      </w:tr>
      <w:tr w14:paraId="5F53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9B64F7"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甲方代表：</w:t>
            </w:r>
          </w:p>
        </w:tc>
        <w:tc>
          <w:tcPr>
            <w:tcW w:w="5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D2727">
            <w:pPr>
              <w:widowControl/>
              <w:jc w:val="left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乙方代表：</w:t>
            </w:r>
          </w:p>
        </w:tc>
      </w:tr>
    </w:tbl>
    <w:p w14:paraId="7C84B35E">
      <w:pPr>
        <w:pStyle w:val="2"/>
        <w:spacing w:before="0" w:after="0" w:line="400" w:lineRule="exact"/>
      </w:pPr>
    </w:p>
    <w:p w14:paraId="7DCA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四、付款方式</w:t>
      </w:r>
    </w:p>
    <w:p w14:paraId="486B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理合同签订，并收到中选人提供的该案件答辩意见后，采购人在收到报价人提供的增值税专用发票后支付代理服务费的50%，判决生效或案件结案后，根据考核结果，采购人在收到报价人提供的增值税专用发票后支付剩余款项。</w:t>
      </w:r>
    </w:p>
    <w:p w14:paraId="31C7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、报价表</w:t>
      </w:r>
    </w:p>
    <w:p w14:paraId="5903C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报价表如下表，请在202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日上午9：30之前，将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上述第一条要求的文件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及报价密封加盖公章送达我公司20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室，公司地址：泉州市丰泽区安吉南路555号广电网络大楼，邮编：362000，联系人：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韩女士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，电话：0595-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37987719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B57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06568023">
      <w:pPr>
        <w:widowControl w:val="0"/>
        <w:spacing w:line="4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报价表</w:t>
      </w:r>
    </w:p>
    <w:p w14:paraId="3A020B2A">
      <w:pPr>
        <w:widowControl/>
        <w:spacing w:line="500" w:lineRule="exact"/>
        <w:jc w:val="center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    </w:t>
      </w:r>
      <w:r>
        <w:rPr>
          <w:rFonts w:hint="eastAsia" w:ascii="宋体" w:hAnsi="宋体"/>
          <w:b/>
          <w:szCs w:val="21"/>
        </w:rPr>
        <w:t>单位：人民币元</w:t>
      </w:r>
    </w:p>
    <w:tbl>
      <w:tblPr>
        <w:tblStyle w:val="12"/>
        <w:tblpPr w:leftFromText="180" w:rightFromText="180" w:vertAnchor="text" w:horzAnchor="page" w:tblpX="452" w:tblpY="358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13"/>
        <w:gridCol w:w="1755"/>
        <w:gridCol w:w="2655"/>
        <w:gridCol w:w="1185"/>
        <w:gridCol w:w="1432"/>
        <w:tblGridChange w:id="0">
          <w:tblGrid>
            <w:gridCol w:w="885"/>
            <w:gridCol w:w="2213"/>
            <w:gridCol w:w="1755"/>
            <w:gridCol w:w="2655"/>
            <w:gridCol w:w="1185"/>
            <w:gridCol w:w="1432"/>
          </w:tblGrid>
        </w:tblGridChange>
      </w:tblGrid>
      <w:tr w14:paraId="6567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885" w:type="dxa"/>
            <w:noWrap w:val="0"/>
            <w:vAlign w:val="center"/>
          </w:tcPr>
          <w:p w14:paraId="49106DF9">
            <w:pPr>
              <w:jc w:val="center"/>
              <w:rPr>
                <w:rFonts w:hint="eastAsia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213" w:type="dxa"/>
            <w:noWrap w:val="0"/>
            <w:vAlign w:val="center"/>
          </w:tcPr>
          <w:p w14:paraId="47E24821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1755" w:type="dxa"/>
            <w:noWrap w:val="0"/>
            <w:vAlign w:val="center"/>
          </w:tcPr>
          <w:p w14:paraId="0A0C7A8B">
            <w:pPr>
              <w:jc w:val="both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服务律师及执业年限</w:t>
            </w:r>
          </w:p>
        </w:tc>
        <w:tc>
          <w:tcPr>
            <w:tcW w:w="2655" w:type="dxa"/>
            <w:noWrap w:val="0"/>
            <w:vAlign w:val="center"/>
          </w:tcPr>
          <w:p w14:paraId="123687A7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anish w:val="0"/>
                <w:color w:val="auto"/>
                <w:kern w:val="2"/>
                <w:sz w:val="24"/>
                <w:szCs w:val="24"/>
                <w:highlight w:val="none"/>
                <w:u w:val="double"/>
                <w:lang w:val="en-US" w:eastAsia="zh-CN"/>
              </w:rPr>
              <w:t>不含税总价</w:t>
            </w:r>
          </w:p>
        </w:tc>
        <w:tc>
          <w:tcPr>
            <w:tcW w:w="1185" w:type="dxa"/>
            <w:noWrap w:val="0"/>
            <w:vAlign w:val="center"/>
          </w:tcPr>
          <w:p w14:paraId="4EEC9E9B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税率</w:t>
            </w:r>
          </w:p>
        </w:tc>
        <w:tc>
          <w:tcPr>
            <w:tcW w:w="1432" w:type="dxa"/>
            <w:noWrap w:val="0"/>
            <w:vAlign w:val="center"/>
          </w:tcPr>
          <w:p w14:paraId="4E66FE9A"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含税总价</w:t>
            </w:r>
          </w:p>
        </w:tc>
      </w:tr>
      <w:tr w14:paraId="0BB8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85" w:type="dxa"/>
            <w:noWrap w:val="0"/>
            <w:vAlign w:val="center"/>
          </w:tcPr>
          <w:p w14:paraId="24913DB0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213" w:type="dxa"/>
            <w:noWrap w:val="0"/>
            <w:vAlign w:val="center"/>
          </w:tcPr>
          <w:p w14:paraId="71CFA64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一审代理服务</w:t>
            </w:r>
          </w:p>
        </w:tc>
        <w:tc>
          <w:tcPr>
            <w:tcW w:w="1755" w:type="dxa"/>
            <w:noWrap w:val="0"/>
            <w:vAlign w:val="center"/>
          </w:tcPr>
          <w:p w14:paraId="59808FD5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28AA2CB4">
            <w:pPr>
              <w:jc w:val="left"/>
              <w:rPr>
                <w:rFonts w:hint="eastAsia" w:ascii="宋体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5FE9C23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95275D6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8D4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85" w:type="dxa"/>
            <w:noWrap w:val="0"/>
            <w:vAlign w:val="center"/>
          </w:tcPr>
          <w:p w14:paraId="38B7F523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213" w:type="dxa"/>
            <w:noWrap w:val="0"/>
            <w:vAlign w:val="center"/>
          </w:tcPr>
          <w:p w14:paraId="1EF43644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二审代理服务</w:t>
            </w:r>
          </w:p>
        </w:tc>
        <w:tc>
          <w:tcPr>
            <w:tcW w:w="1755" w:type="dxa"/>
            <w:noWrap w:val="0"/>
            <w:vAlign w:val="center"/>
          </w:tcPr>
          <w:p w14:paraId="72C01281">
            <w:pPr>
              <w:jc w:val="center"/>
              <w:rPr>
                <w:rFonts w:hint="eastAsia" w:ascii="宋体" w:eastAsia="宋体"/>
                <w:b w:val="0"/>
                <w:bCs w:val="0"/>
                <w:vanish w:val="0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655" w:type="dxa"/>
            <w:noWrap w:val="0"/>
            <w:vAlign w:val="center"/>
          </w:tcPr>
          <w:p w14:paraId="5F5974E7">
            <w:pPr>
              <w:jc w:val="left"/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BB940F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154EA95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5E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4853" w:type="dxa"/>
            <w:gridSpan w:val="3"/>
            <w:noWrap w:val="0"/>
            <w:vAlign w:val="center"/>
          </w:tcPr>
          <w:p w14:paraId="05697CA9">
            <w:pPr>
              <w:jc w:val="center"/>
              <w:rPr>
                <w:rFonts w:hint="eastAsia" w:ascii="宋体" w:eastAsia="宋体"/>
                <w:b w:val="0"/>
                <w:bCs w:val="0"/>
                <w:vanish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655" w:type="dxa"/>
            <w:noWrap w:val="0"/>
            <w:vAlign w:val="center"/>
          </w:tcPr>
          <w:p w14:paraId="7936B980">
            <w:pPr>
              <w:jc w:val="left"/>
              <w:rPr>
                <w:rFonts w:hint="eastAsia" w:ascii="宋体" w:eastAsia="宋体"/>
                <w:vanish w:val="0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B3409F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3C722BB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63A33C80">
      <w:pPr>
        <w:rPr>
          <w:rFonts w:hint="eastAsia" w:ascii="宋体" w:hAnsi="宋体" w:cs="宋体"/>
          <w:sz w:val="24"/>
        </w:rPr>
      </w:pPr>
    </w:p>
    <w:p w14:paraId="1DE5FBC9">
      <w:pPr>
        <w:pStyle w:val="2"/>
        <w:rPr>
          <w:rFonts w:hint="eastAsia" w:ascii="宋体" w:hAnsi="宋体" w:cs="宋体"/>
          <w:sz w:val="24"/>
        </w:rPr>
      </w:pPr>
    </w:p>
    <w:p w14:paraId="26B414D4">
      <w:pPr>
        <w:rPr>
          <w:rFonts w:hint="eastAsia"/>
        </w:rPr>
      </w:pPr>
    </w:p>
    <w:p w14:paraId="41722D0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报价应</w:t>
      </w:r>
      <w:r>
        <w:rPr>
          <w:rFonts w:hint="eastAsia" w:ascii="宋体" w:hAnsi="宋体"/>
          <w:sz w:val="24"/>
          <w:lang w:val="en-US" w:eastAsia="zh-CN"/>
        </w:rPr>
        <w:t>包含律师服务费、差旅费、食宿费</w:t>
      </w:r>
      <w:r>
        <w:rPr>
          <w:rFonts w:hint="eastAsia" w:ascii="宋体" w:hAnsi="宋体"/>
          <w:sz w:val="24"/>
        </w:rPr>
        <w:t>等</w:t>
      </w:r>
      <w:r>
        <w:rPr>
          <w:rFonts w:hint="eastAsia" w:ascii="宋体" w:hAnsi="宋体"/>
          <w:sz w:val="24"/>
          <w:lang w:val="en-US" w:eastAsia="zh-CN"/>
        </w:rPr>
        <w:t>提供代理服务所需全部</w:t>
      </w:r>
      <w:r>
        <w:rPr>
          <w:rFonts w:hint="eastAsia" w:ascii="宋体" w:hAnsi="宋体"/>
          <w:sz w:val="24"/>
        </w:rPr>
        <w:t>费用。</w:t>
      </w:r>
    </w:p>
    <w:p w14:paraId="334D99B2">
      <w:pPr>
        <w:ind w:firstLine="720" w:firstLineChars="3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/>
          <w:color w:val="FF0000"/>
          <w:sz w:val="24"/>
          <w:lang w:val="en-US" w:eastAsia="zh-CN"/>
        </w:rPr>
        <w:t>若出现2家或2家以上报价发票税率不一致，将以</w:t>
      </w:r>
      <w:r>
        <w:rPr>
          <w:rFonts w:hint="eastAsia" w:ascii="宋体" w:hAnsi="Bookman Old Style"/>
          <w:color w:val="FF0000"/>
          <w:sz w:val="24"/>
        </w:rPr>
        <w:t>不含税总价</w:t>
      </w:r>
      <w:r>
        <w:rPr>
          <w:rFonts w:hint="eastAsia" w:ascii="宋体" w:hAnsi="Bookman Old Style"/>
          <w:color w:val="FF0000"/>
          <w:sz w:val="24"/>
          <w:lang w:eastAsia="zh-CN"/>
        </w:rPr>
        <w:t>最低者中选</w:t>
      </w:r>
      <w:r>
        <w:rPr>
          <w:rFonts w:hint="eastAsia" w:ascii="宋体" w:hAnsi="Bookman Old Style"/>
          <w:color w:val="auto"/>
          <w:sz w:val="24"/>
          <w:lang w:eastAsia="zh-CN"/>
        </w:rPr>
        <w:t>。</w:t>
      </w:r>
    </w:p>
    <w:p w14:paraId="7126AABC">
      <w:pPr>
        <w:ind w:firstLine="3000" w:firstLineChars="1250"/>
        <w:rPr>
          <w:rFonts w:ascii="宋体" w:hAnsi="宋体" w:cs="宋体"/>
          <w:sz w:val="24"/>
        </w:rPr>
      </w:pPr>
    </w:p>
    <w:p w14:paraId="24B2A3A5">
      <w:pPr>
        <w:ind w:firstLine="3000" w:firstLineChars="125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报价公司（</w:t>
      </w:r>
      <w:r>
        <w:rPr>
          <w:rFonts w:hint="eastAsia" w:ascii="宋体" w:hAnsi="宋体"/>
          <w:sz w:val="24"/>
          <w:u w:val="single"/>
        </w:rPr>
        <w:t>全称并加盖公章</w:t>
      </w:r>
      <w:r>
        <w:rPr>
          <w:rFonts w:ascii="宋体" w:hAnsi="宋体" w:cs="宋体"/>
          <w:sz w:val="24"/>
        </w:rPr>
        <w:t>）：</w:t>
      </w:r>
    </w:p>
    <w:p w14:paraId="7238F1FC">
      <w:pPr>
        <w:ind w:firstLine="3000" w:firstLineChars="12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</w:t>
      </w:r>
    </w:p>
    <w:p w14:paraId="712AE961">
      <w:pPr>
        <w:ind w:firstLine="30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联系方式：</w:t>
      </w:r>
    </w:p>
    <w:p w14:paraId="6DA1F5C1">
      <w:pPr>
        <w:ind w:firstLine="30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报价日期：</w:t>
      </w:r>
    </w:p>
    <w:p w14:paraId="132B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3206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</w:p>
    <w:p w14:paraId="51623636">
      <w:pPr>
        <w:spacing w:line="400" w:lineRule="exact"/>
        <w:ind w:firstLine="420" w:firstLineChars="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    </w:t>
      </w:r>
    </w:p>
    <w:sectPr>
      <w:pgSz w:w="11906" w:h="16838"/>
      <w:pgMar w:top="873" w:right="1179" w:bottom="873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OTIxNTdiNTMyYzY1ODU0NzM3OTFjNTc2OWE2MGYifQ=="/>
    <w:docVar w:name="KSO_WPS_MARK_KEY" w:val="73fd6865-9158-4761-974e-6f6a84d63a88"/>
  </w:docVars>
  <w:rsids>
    <w:rsidRoot w:val="00080580"/>
    <w:rsid w:val="00007C98"/>
    <w:rsid w:val="00011468"/>
    <w:rsid w:val="00012E74"/>
    <w:rsid w:val="00045F65"/>
    <w:rsid w:val="0005255C"/>
    <w:rsid w:val="00064718"/>
    <w:rsid w:val="00076343"/>
    <w:rsid w:val="00080580"/>
    <w:rsid w:val="0008144D"/>
    <w:rsid w:val="000C07DC"/>
    <w:rsid w:val="000E2C6A"/>
    <w:rsid w:val="000E3A50"/>
    <w:rsid w:val="000E43C3"/>
    <w:rsid w:val="000F37E0"/>
    <w:rsid w:val="00124A7C"/>
    <w:rsid w:val="0012514C"/>
    <w:rsid w:val="001519EF"/>
    <w:rsid w:val="001566BB"/>
    <w:rsid w:val="00157735"/>
    <w:rsid w:val="00174D47"/>
    <w:rsid w:val="001814AB"/>
    <w:rsid w:val="001B30F3"/>
    <w:rsid w:val="001B41F9"/>
    <w:rsid w:val="001D64DA"/>
    <w:rsid w:val="001E3B64"/>
    <w:rsid w:val="00212800"/>
    <w:rsid w:val="002131F4"/>
    <w:rsid w:val="00221748"/>
    <w:rsid w:val="00227041"/>
    <w:rsid w:val="00233ED7"/>
    <w:rsid w:val="00237751"/>
    <w:rsid w:val="00254A01"/>
    <w:rsid w:val="00266880"/>
    <w:rsid w:val="002719B4"/>
    <w:rsid w:val="002719F3"/>
    <w:rsid w:val="002726C7"/>
    <w:rsid w:val="00274D2C"/>
    <w:rsid w:val="00275551"/>
    <w:rsid w:val="0027683A"/>
    <w:rsid w:val="002A5AA4"/>
    <w:rsid w:val="002B39E0"/>
    <w:rsid w:val="002C18D5"/>
    <w:rsid w:val="002C1AD3"/>
    <w:rsid w:val="002C2A25"/>
    <w:rsid w:val="002C3CFD"/>
    <w:rsid w:val="002D4EE3"/>
    <w:rsid w:val="002E299B"/>
    <w:rsid w:val="002E2DD2"/>
    <w:rsid w:val="002E7390"/>
    <w:rsid w:val="002F7C9E"/>
    <w:rsid w:val="00305BE3"/>
    <w:rsid w:val="003111CE"/>
    <w:rsid w:val="003312ED"/>
    <w:rsid w:val="00350DF0"/>
    <w:rsid w:val="003527E3"/>
    <w:rsid w:val="0036119C"/>
    <w:rsid w:val="003923D6"/>
    <w:rsid w:val="003A5D0D"/>
    <w:rsid w:val="003D1DAB"/>
    <w:rsid w:val="003F25B4"/>
    <w:rsid w:val="00402F61"/>
    <w:rsid w:val="00405037"/>
    <w:rsid w:val="00410BB9"/>
    <w:rsid w:val="00412813"/>
    <w:rsid w:val="00424379"/>
    <w:rsid w:val="00430EED"/>
    <w:rsid w:val="00442757"/>
    <w:rsid w:val="00447BC4"/>
    <w:rsid w:val="0045026B"/>
    <w:rsid w:val="004566F0"/>
    <w:rsid w:val="0045694B"/>
    <w:rsid w:val="0048678E"/>
    <w:rsid w:val="00494517"/>
    <w:rsid w:val="0049496A"/>
    <w:rsid w:val="004A35B0"/>
    <w:rsid w:val="004B7090"/>
    <w:rsid w:val="004B720A"/>
    <w:rsid w:val="004C282A"/>
    <w:rsid w:val="004C6129"/>
    <w:rsid w:val="004D084D"/>
    <w:rsid w:val="004D3CE0"/>
    <w:rsid w:val="004D43FA"/>
    <w:rsid w:val="004D587A"/>
    <w:rsid w:val="0051093A"/>
    <w:rsid w:val="005239DE"/>
    <w:rsid w:val="005252D0"/>
    <w:rsid w:val="005370F0"/>
    <w:rsid w:val="005374E6"/>
    <w:rsid w:val="00561566"/>
    <w:rsid w:val="00566793"/>
    <w:rsid w:val="00570D90"/>
    <w:rsid w:val="00586B10"/>
    <w:rsid w:val="00596998"/>
    <w:rsid w:val="005A19FF"/>
    <w:rsid w:val="005B5AEF"/>
    <w:rsid w:val="005C495F"/>
    <w:rsid w:val="005C635A"/>
    <w:rsid w:val="005C76FC"/>
    <w:rsid w:val="005D159E"/>
    <w:rsid w:val="005D37C0"/>
    <w:rsid w:val="005D4EC4"/>
    <w:rsid w:val="005E1C41"/>
    <w:rsid w:val="005F36E4"/>
    <w:rsid w:val="005F7029"/>
    <w:rsid w:val="00607BF8"/>
    <w:rsid w:val="006150F3"/>
    <w:rsid w:val="006331BC"/>
    <w:rsid w:val="00650518"/>
    <w:rsid w:val="00654F2F"/>
    <w:rsid w:val="00656B4F"/>
    <w:rsid w:val="00674030"/>
    <w:rsid w:val="006756C9"/>
    <w:rsid w:val="00694B63"/>
    <w:rsid w:val="00697F19"/>
    <w:rsid w:val="006A4B96"/>
    <w:rsid w:val="006B1435"/>
    <w:rsid w:val="006B413A"/>
    <w:rsid w:val="006C4757"/>
    <w:rsid w:val="006D00DC"/>
    <w:rsid w:val="006D662C"/>
    <w:rsid w:val="006F029B"/>
    <w:rsid w:val="0070118F"/>
    <w:rsid w:val="0070379A"/>
    <w:rsid w:val="00713D60"/>
    <w:rsid w:val="007176DA"/>
    <w:rsid w:val="00720B28"/>
    <w:rsid w:val="00721450"/>
    <w:rsid w:val="0073247B"/>
    <w:rsid w:val="007333EB"/>
    <w:rsid w:val="00733881"/>
    <w:rsid w:val="00733A55"/>
    <w:rsid w:val="00740992"/>
    <w:rsid w:val="007506BB"/>
    <w:rsid w:val="00751F06"/>
    <w:rsid w:val="0075604F"/>
    <w:rsid w:val="007600E8"/>
    <w:rsid w:val="007706FB"/>
    <w:rsid w:val="007719D0"/>
    <w:rsid w:val="00771DC8"/>
    <w:rsid w:val="0078573A"/>
    <w:rsid w:val="00787C50"/>
    <w:rsid w:val="00795D96"/>
    <w:rsid w:val="007A27FC"/>
    <w:rsid w:val="007D188A"/>
    <w:rsid w:val="00812899"/>
    <w:rsid w:val="00847397"/>
    <w:rsid w:val="00850D59"/>
    <w:rsid w:val="0086104A"/>
    <w:rsid w:val="00877741"/>
    <w:rsid w:val="008801BE"/>
    <w:rsid w:val="00886BDB"/>
    <w:rsid w:val="008A1666"/>
    <w:rsid w:val="008B24D3"/>
    <w:rsid w:val="008C0882"/>
    <w:rsid w:val="008C7EB9"/>
    <w:rsid w:val="008E345A"/>
    <w:rsid w:val="008F3405"/>
    <w:rsid w:val="00901B1E"/>
    <w:rsid w:val="0090378B"/>
    <w:rsid w:val="0090448E"/>
    <w:rsid w:val="00905C71"/>
    <w:rsid w:val="00916EDC"/>
    <w:rsid w:val="00923D47"/>
    <w:rsid w:val="00927AD1"/>
    <w:rsid w:val="009370C8"/>
    <w:rsid w:val="00944D13"/>
    <w:rsid w:val="00952E7D"/>
    <w:rsid w:val="009624F9"/>
    <w:rsid w:val="009636A7"/>
    <w:rsid w:val="00976E54"/>
    <w:rsid w:val="00980A37"/>
    <w:rsid w:val="00984333"/>
    <w:rsid w:val="00986F76"/>
    <w:rsid w:val="009A4625"/>
    <w:rsid w:val="009A5B68"/>
    <w:rsid w:val="009A71A0"/>
    <w:rsid w:val="009B0831"/>
    <w:rsid w:val="009B26E1"/>
    <w:rsid w:val="009C1F12"/>
    <w:rsid w:val="009C3BFF"/>
    <w:rsid w:val="009C3E0C"/>
    <w:rsid w:val="009D48A1"/>
    <w:rsid w:val="009D77C7"/>
    <w:rsid w:val="009E6872"/>
    <w:rsid w:val="009F3C96"/>
    <w:rsid w:val="009F5AC1"/>
    <w:rsid w:val="00A040C7"/>
    <w:rsid w:val="00A04D2C"/>
    <w:rsid w:val="00A1258B"/>
    <w:rsid w:val="00A13220"/>
    <w:rsid w:val="00A135EA"/>
    <w:rsid w:val="00A168CC"/>
    <w:rsid w:val="00A25939"/>
    <w:rsid w:val="00A30427"/>
    <w:rsid w:val="00A434AA"/>
    <w:rsid w:val="00A44428"/>
    <w:rsid w:val="00A54C17"/>
    <w:rsid w:val="00A70758"/>
    <w:rsid w:val="00A72CDE"/>
    <w:rsid w:val="00A90386"/>
    <w:rsid w:val="00AA0AD0"/>
    <w:rsid w:val="00AA75CD"/>
    <w:rsid w:val="00AB167E"/>
    <w:rsid w:val="00AD2CE5"/>
    <w:rsid w:val="00AD4DB6"/>
    <w:rsid w:val="00AD5EA6"/>
    <w:rsid w:val="00AD6FCB"/>
    <w:rsid w:val="00AE3733"/>
    <w:rsid w:val="00AE4DBA"/>
    <w:rsid w:val="00AF1170"/>
    <w:rsid w:val="00AF1324"/>
    <w:rsid w:val="00AF4C9E"/>
    <w:rsid w:val="00AF6B77"/>
    <w:rsid w:val="00B11C65"/>
    <w:rsid w:val="00B23FCA"/>
    <w:rsid w:val="00B371D2"/>
    <w:rsid w:val="00B4449E"/>
    <w:rsid w:val="00B52D92"/>
    <w:rsid w:val="00B54975"/>
    <w:rsid w:val="00B61131"/>
    <w:rsid w:val="00B659E5"/>
    <w:rsid w:val="00B67473"/>
    <w:rsid w:val="00B72B25"/>
    <w:rsid w:val="00B77D22"/>
    <w:rsid w:val="00B77E0D"/>
    <w:rsid w:val="00B87767"/>
    <w:rsid w:val="00BB095F"/>
    <w:rsid w:val="00BC4579"/>
    <w:rsid w:val="00BD3BEE"/>
    <w:rsid w:val="00BD4BD4"/>
    <w:rsid w:val="00BD70C3"/>
    <w:rsid w:val="00BE310C"/>
    <w:rsid w:val="00BE5883"/>
    <w:rsid w:val="00C01B16"/>
    <w:rsid w:val="00C139AF"/>
    <w:rsid w:val="00C24D5E"/>
    <w:rsid w:val="00C26EA4"/>
    <w:rsid w:val="00C366AC"/>
    <w:rsid w:val="00C42663"/>
    <w:rsid w:val="00C4318B"/>
    <w:rsid w:val="00C5018C"/>
    <w:rsid w:val="00C52F78"/>
    <w:rsid w:val="00C713BB"/>
    <w:rsid w:val="00C76381"/>
    <w:rsid w:val="00C87183"/>
    <w:rsid w:val="00CB3446"/>
    <w:rsid w:val="00CB37D4"/>
    <w:rsid w:val="00CB4C65"/>
    <w:rsid w:val="00CD1C95"/>
    <w:rsid w:val="00CE5DDC"/>
    <w:rsid w:val="00D017CD"/>
    <w:rsid w:val="00D04474"/>
    <w:rsid w:val="00D0497F"/>
    <w:rsid w:val="00D04B33"/>
    <w:rsid w:val="00D0628F"/>
    <w:rsid w:val="00D07991"/>
    <w:rsid w:val="00D22EDA"/>
    <w:rsid w:val="00D247F8"/>
    <w:rsid w:val="00D3127E"/>
    <w:rsid w:val="00D31FFF"/>
    <w:rsid w:val="00D46FEE"/>
    <w:rsid w:val="00D72F77"/>
    <w:rsid w:val="00D73345"/>
    <w:rsid w:val="00D75ED3"/>
    <w:rsid w:val="00D854AE"/>
    <w:rsid w:val="00D87AFE"/>
    <w:rsid w:val="00D914D4"/>
    <w:rsid w:val="00D931A8"/>
    <w:rsid w:val="00DB1AA3"/>
    <w:rsid w:val="00DB559C"/>
    <w:rsid w:val="00DB740B"/>
    <w:rsid w:val="00DD24A1"/>
    <w:rsid w:val="00DD3C29"/>
    <w:rsid w:val="00DE5A88"/>
    <w:rsid w:val="00DE6662"/>
    <w:rsid w:val="00DE6C24"/>
    <w:rsid w:val="00E01A02"/>
    <w:rsid w:val="00E2156B"/>
    <w:rsid w:val="00E241BC"/>
    <w:rsid w:val="00E30327"/>
    <w:rsid w:val="00E31773"/>
    <w:rsid w:val="00E3181A"/>
    <w:rsid w:val="00E31AFC"/>
    <w:rsid w:val="00E448C5"/>
    <w:rsid w:val="00E45877"/>
    <w:rsid w:val="00E45FEE"/>
    <w:rsid w:val="00E46BBF"/>
    <w:rsid w:val="00E47F17"/>
    <w:rsid w:val="00E5434D"/>
    <w:rsid w:val="00E57F21"/>
    <w:rsid w:val="00E604BF"/>
    <w:rsid w:val="00E631CB"/>
    <w:rsid w:val="00E70F5A"/>
    <w:rsid w:val="00E71D72"/>
    <w:rsid w:val="00E76C77"/>
    <w:rsid w:val="00E80CE9"/>
    <w:rsid w:val="00EA5263"/>
    <w:rsid w:val="00EA5F17"/>
    <w:rsid w:val="00EB3AB6"/>
    <w:rsid w:val="00EB5707"/>
    <w:rsid w:val="00EC23D3"/>
    <w:rsid w:val="00EC732C"/>
    <w:rsid w:val="00EF2B28"/>
    <w:rsid w:val="00F12576"/>
    <w:rsid w:val="00F16099"/>
    <w:rsid w:val="00F165A3"/>
    <w:rsid w:val="00F343E3"/>
    <w:rsid w:val="00F35E02"/>
    <w:rsid w:val="00F44655"/>
    <w:rsid w:val="00F45D85"/>
    <w:rsid w:val="00F56393"/>
    <w:rsid w:val="00F61E90"/>
    <w:rsid w:val="00F639F0"/>
    <w:rsid w:val="00F737FB"/>
    <w:rsid w:val="00F85C1D"/>
    <w:rsid w:val="00F95E7A"/>
    <w:rsid w:val="00F97540"/>
    <w:rsid w:val="00FA639C"/>
    <w:rsid w:val="00FB2ABD"/>
    <w:rsid w:val="00FC4E71"/>
    <w:rsid w:val="00FF0AAD"/>
    <w:rsid w:val="00FF6857"/>
    <w:rsid w:val="00FF6F7C"/>
    <w:rsid w:val="01520319"/>
    <w:rsid w:val="050C5B82"/>
    <w:rsid w:val="07170CA0"/>
    <w:rsid w:val="07484B41"/>
    <w:rsid w:val="08CE28F0"/>
    <w:rsid w:val="0A8F5FE0"/>
    <w:rsid w:val="0B5D3D1A"/>
    <w:rsid w:val="0BFC2239"/>
    <w:rsid w:val="0F1F14FC"/>
    <w:rsid w:val="139644E1"/>
    <w:rsid w:val="17397720"/>
    <w:rsid w:val="1A90536B"/>
    <w:rsid w:val="1D24192E"/>
    <w:rsid w:val="1D754F89"/>
    <w:rsid w:val="1E181032"/>
    <w:rsid w:val="1E9D7CAC"/>
    <w:rsid w:val="1FD63BFF"/>
    <w:rsid w:val="216D42DB"/>
    <w:rsid w:val="23C804F8"/>
    <w:rsid w:val="243949BC"/>
    <w:rsid w:val="24545AAF"/>
    <w:rsid w:val="293C59B5"/>
    <w:rsid w:val="2A0710DF"/>
    <w:rsid w:val="2D732AB2"/>
    <w:rsid w:val="2E184702"/>
    <w:rsid w:val="2E55071E"/>
    <w:rsid w:val="2E6E5552"/>
    <w:rsid w:val="320E2978"/>
    <w:rsid w:val="328C1EE0"/>
    <w:rsid w:val="349C3D5E"/>
    <w:rsid w:val="351522DD"/>
    <w:rsid w:val="36AA7525"/>
    <w:rsid w:val="380D79A2"/>
    <w:rsid w:val="3AB45ECB"/>
    <w:rsid w:val="3AE17F06"/>
    <w:rsid w:val="428A262B"/>
    <w:rsid w:val="43795214"/>
    <w:rsid w:val="452350DE"/>
    <w:rsid w:val="461B46D2"/>
    <w:rsid w:val="47ED627C"/>
    <w:rsid w:val="487B2370"/>
    <w:rsid w:val="48A52D80"/>
    <w:rsid w:val="48B40396"/>
    <w:rsid w:val="4A8A2DF9"/>
    <w:rsid w:val="4BA650FC"/>
    <w:rsid w:val="53FD4DAA"/>
    <w:rsid w:val="547863FD"/>
    <w:rsid w:val="54FD798C"/>
    <w:rsid w:val="55D32DC0"/>
    <w:rsid w:val="573C5425"/>
    <w:rsid w:val="596334BB"/>
    <w:rsid w:val="5A1A4E73"/>
    <w:rsid w:val="5CA778E5"/>
    <w:rsid w:val="5D420C17"/>
    <w:rsid w:val="63FA6523"/>
    <w:rsid w:val="64D5362B"/>
    <w:rsid w:val="6AE47705"/>
    <w:rsid w:val="6E003D49"/>
    <w:rsid w:val="70A27037"/>
    <w:rsid w:val="72565D8B"/>
    <w:rsid w:val="74886E3D"/>
    <w:rsid w:val="77991CAB"/>
    <w:rsid w:val="7836030B"/>
    <w:rsid w:val="7980482E"/>
    <w:rsid w:val="79D9231B"/>
    <w:rsid w:val="7A2B32AF"/>
    <w:rsid w:val="7BA32931"/>
    <w:rsid w:val="7E6D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Cambria" w:hAnsi="Cambria" w:eastAsia="宋体" w:cs="Times New Roman"/>
      <w:b/>
      <w:kern w:val="2"/>
      <w:sz w:val="28"/>
      <w:szCs w:val="28"/>
      <w:lang w:val="en-US" w:eastAsia="zh-CN" w:bidi="ar-SA"/>
    </w:rPr>
  </w:style>
  <w:style w:type="paragraph" w:styleId="4">
    <w:name w:val="heading 5"/>
    <w:basedOn w:val="1"/>
    <w:next w:val="1"/>
    <w:link w:val="20"/>
    <w:qFormat/>
    <w:uiPriority w:val="9"/>
    <w:pPr>
      <w:spacing w:before="100" w:beforeAutospacing="1" w:after="100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qFormat/>
    <w:uiPriority w:val="0"/>
    <w:pPr>
      <w:widowControl w:val="0"/>
      <w:spacing w:before="100" w:beforeAutospacing="1"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Date"/>
    <w:basedOn w:val="1"/>
    <w:next w:val="1"/>
    <w:link w:val="17"/>
    <w:qFormat/>
    <w:uiPriority w:val="0"/>
    <w:pPr>
      <w:ind w:left="100" w:leftChars="2500"/>
    </w:pPr>
  </w:style>
  <w:style w:type="paragraph" w:styleId="8">
    <w:name w:val="Balloon Text"/>
    <w:basedOn w:val="1"/>
    <w:link w:val="27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标题 5 Char"/>
    <w:link w:val="4"/>
    <w:qFormat/>
    <w:uiPriority w:val="9"/>
    <w:rPr>
      <w:rFonts w:ascii="宋体" w:hAnsi="宋体" w:cs="宋体"/>
      <w:b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22">
    <w:name w:val="_Style 2"/>
    <w:basedOn w:val="1"/>
    <w:qFormat/>
    <w:uiPriority w:val="0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批注框文本 Char"/>
    <w:basedOn w:val="14"/>
    <w:link w:val="8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3389</Words>
  <Characters>3541</Characters>
  <Lines>4</Lines>
  <Paragraphs>1</Paragraphs>
  <TotalTime>9</TotalTime>
  <ScaleCrop>false</ScaleCrop>
  <LinksUpToDate>false</LinksUpToDate>
  <CharactersWithSpaces>3637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2020-03-06T01:50:00Z</dcterms:created>
  <dc:creator>User</dc:creator>
  <cp:lastModifiedBy>韩瑞珍</cp:lastModifiedBy>
  <dcterms:modified xsi:type="dcterms:W3CDTF">2025-05-16T10:24:17Z</dcterms:modified>
  <dc:title>____________________________你们好：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A12D8F87C37D48E6A442C4F793BC8037_13</vt:lpwstr>
  </property>
  <property fmtid="{D5CDD505-2E9C-101B-9397-08002B2CF9AE}" pid="4" name="KSOTemplateDocerSaveRecord">
    <vt:lpwstr>eyJoZGlkIjoiMDZkOGM5NWYxNDNmNDI1MGZmOTdlYzU1NjZhMTA1NDEifQ==</vt:lpwstr>
  </property>
</Properties>
</file>