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3298C">
      <w:pPr>
        <w:spacing w:line="580" w:lineRule="exact"/>
        <w:rPr>
          <w:rFonts w:hint="eastAsia" w:ascii="黑体" w:hAnsi="黑体" w:eastAsia="黑体" w:cs="黑体"/>
          <w:sz w:val="32"/>
          <w:szCs w:val="32"/>
        </w:rPr>
      </w:pPr>
      <w:bookmarkStart w:id="0" w:name="_GoBack"/>
      <w:r>
        <w:rPr>
          <w:rFonts w:hint="eastAsia" w:ascii="黑体" w:hAnsi="黑体" w:eastAsia="黑体" w:cs="黑体"/>
          <w:sz w:val="32"/>
          <w:szCs w:val="32"/>
        </w:rPr>
        <w:t>附件：合作方招募评分规则</w:t>
      </w:r>
    </w:p>
    <w:bookmarkEnd w:id="0"/>
    <w:p w14:paraId="5B9B8930">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本次招募采用综合评分法，根据以下标准和方法对通过资格审查的意向合作方进行评议。广网融科公司经营评审小组将对意向合作方从企业综合实力部分、分成比例、内容部分、运营支撑部分四个部分别进行打分，计算出各意向合作方的综合得分。按综合得分从高到低的顺序进行排名，综合得分第一名的，将被确定为福建高清互动云电视“健身”项目合作方。</w:t>
      </w:r>
    </w:p>
    <w:p w14:paraId="4CFBB5FA">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若有相同的综合得分，则其中分成比例得分高的排序在前；若分成比例得分相同，则企业综合实力得分高的排序在前；若前述情况仍是相同，则内容部分得分高的排序在前；若前述情况仍是相同，则运营支撑部分得分高的排序在前；若前述情况仍是相同，则由广网融科公司经营评审小组记名投票确认合作方排序。</w:t>
      </w:r>
    </w:p>
    <w:p w14:paraId="53251F40">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各部分评分分值分布如下：</w:t>
      </w:r>
    </w:p>
    <w:p w14:paraId="0E0ED6D9">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A：企业综合实力评分         满分20分</w:t>
      </w:r>
    </w:p>
    <w:p w14:paraId="1CD2FEA2">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B：分成比例评分             满分30分</w:t>
      </w:r>
    </w:p>
    <w:p w14:paraId="5AC58BEE">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C：内容部分评分             满分35分</w:t>
      </w:r>
    </w:p>
    <w:p w14:paraId="77714010">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D：运营支撑部分评分         满分15分</w:t>
      </w:r>
    </w:p>
    <w:p w14:paraId="7B00347B">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综合得分：P＝A+B+C+D</w:t>
      </w:r>
    </w:p>
    <w:tbl>
      <w:tblPr>
        <w:tblStyle w:val="3"/>
        <w:tblW w:w="495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42"/>
        <w:gridCol w:w="1144"/>
        <w:gridCol w:w="6258"/>
      </w:tblGrid>
      <w:tr w14:paraId="3CB08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8" w:hRule="atLeast"/>
        </w:trPr>
        <w:tc>
          <w:tcPr>
            <w:tcW w:w="617" w:type="pct"/>
            <w:shd w:val="clear" w:color="auto" w:fill="F2F2F2"/>
            <w:noWrap w:val="0"/>
            <w:vAlign w:val="center"/>
          </w:tcPr>
          <w:p w14:paraId="069A3816">
            <w:pPr>
              <w:widowControl/>
              <w:jc w:val="center"/>
              <w:textAlignment w:val="center"/>
              <w:rPr>
                <w:rFonts w:hint="eastAsia" w:ascii="宋体" w:hAnsi="宋体" w:cs="宋体"/>
                <w:b/>
                <w:bCs/>
                <w:szCs w:val="21"/>
              </w:rPr>
            </w:pPr>
            <w:r>
              <w:rPr>
                <w:rFonts w:hint="eastAsia" w:ascii="宋体" w:hAnsi="宋体" w:cs="宋体"/>
                <w:b/>
                <w:bCs/>
                <w:kern w:val="0"/>
                <w:szCs w:val="21"/>
                <w:lang w:bidi="ar"/>
              </w:rPr>
              <w:t>评分部分</w:t>
            </w:r>
          </w:p>
        </w:tc>
        <w:tc>
          <w:tcPr>
            <w:tcW w:w="4382" w:type="pct"/>
            <w:gridSpan w:val="2"/>
            <w:shd w:val="clear" w:color="auto" w:fill="F2F2F2"/>
            <w:noWrap w:val="0"/>
            <w:vAlign w:val="center"/>
          </w:tcPr>
          <w:p w14:paraId="404D073B">
            <w:pPr>
              <w:widowControl/>
              <w:jc w:val="center"/>
              <w:textAlignment w:val="center"/>
              <w:rPr>
                <w:rFonts w:hint="eastAsia" w:ascii="宋体" w:hAnsi="宋体" w:cs="宋体"/>
                <w:b/>
                <w:bCs/>
                <w:szCs w:val="21"/>
              </w:rPr>
            </w:pPr>
            <w:r>
              <w:rPr>
                <w:rFonts w:hint="eastAsia" w:ascii="宋体" w:hAnsi="宋体" w:cs="宋体"/>
                <w:b/>
                <w:bCs/>
                <w:kern w:val="0"/>
                <w:szCs w:val="21"/>
                <w:lang w:bidi="ar"/>
              </w:rPr>
              <w:t>评分细则</w:t>
            </w:r>
          </w:p>
        </w:tc>
      </w:tr>
      <w:tr w14:paraId="49992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5" w:hRule="atLeast"/>
        </w:trPr>
        <w:tc>
          <w:tcPr>
            <w:tcW w:w="617" w:type="pct"/>
            <w:vMerge w:val="restart"/>
            <w:noWrap w:val="0"/>
            <w:vAlign w:val="center"/>
          </w:tcPr>
          <w:p w14:paraId="5DC98279">
            <w:pPr>
              <w:widowControl/>
              <w:numPr>
                <w:ilvl w:val="0"/>
                <w:numId w:val="1"/>
              </w:numPr>
              <w:jc w:val="center"/>
              <w:textAlignment w:val="center"/>
              <w:rPr>
                <w:rFonts w:hint="eastAsia" w:ascii="宋体" w:hAnsi="宋体" w:cs="宋体"/>
                <w:kern w:val="0"/>
                <w:szCs w:val="21"/>
                <w:lang w:bidi="ar"/>
              </w:rPr>
            </w:pPr>
            <w:r>
              <w:rPr>
                <w:rFonts w:hint="eastAsia" w:ascii="宋体" w:hAnsi="宋体" w:cs="宋体"/>
                <w:b/>
                <w:bCs/>
                <w:kern w:val="0"/>
                <w:szCs w:val="21"/>
                <w:lang w:bidi="ar"/>
              </w:rPr>
              <w:t>企业综合实力评分（20分）</w:t>
            </w:r>
          </w:p>
        </w:tc>
        <w:tc>
          <w:tcPr>
            <w:tcW w:w="677" w:type="pct"/>
            <w:noWrap w:val="0"/>
            <w:vAlign w:val="center"/>
          </w:tcPr>
          <w:p w14:paraId="772B33BC">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A1:公司</w:t>
            </w:r>
          </w:p>
          <w:p w14:paraId="083C147A">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实力</w:t>
            </w:r>
          </w:p>
          <w:p w14:paraId="5B4496A6">
            <w:pPr>
              <w:widowControl/>
              <w:jc w:val="center"/>
              <w:textAlignment w:val="center"/>
              <w:rPr>
                <w:rFonts w:hint="eastAsia" w:ascii="宋体" w:hAnsi="宋体" w:cs="宋体"/>
                <w:szCs w:val="21"/>
              </w:rPr>
            </w:pPr>
            <w:r>
              <w:rPr>
                <w:rFonts w:hint="eastAsia" w:ascii="宋体" w:hAnsi="宋体" w:cs="宋体"/>
                <w:kern w:val="0"/>
                <w:szCs w:val="21"/>
                <w:lang w:bidi="ar"/>
              </w:rPr>
              <w:t>(6分)</w:t>
            </w:r>
          </w:p>
        </w:tc>
        <w:tc>
          <w:tcPr>
            <w:tcW w:w="3705" w:type="pct"/>
            <w:noWrap w:val="0"/>
            <w:vAlign w:val="center"/>
          </w:tcPr>
          <w:p w14:paraId="0A643564">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根据合作方提供的2021-2023年任意一年的经营收入进行评分。收入达500万元的，得3分；每增加100万元，多得1分；未达到500万元的，本项不得分。本项满分6分。</w:t>
            </w:r>
          </w:p>
          <w:p w14:paraId="28A84DF3">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（合作方需提供年度审计报告，并加盖合作方单位公章，如无法提供请提供说明函，并附上第三方审计机构财务数据证明材料。）</w:t>
            </w:r>
          </w:p>
          <w:p w14:paraId="4F595B24">
            <w:pPr>
              <w:widowControl/>
              <w:jc w:val="left"/>
              <w:textAlignment w:val="center"/>
              <w:rPr>
                <w:rFonts w:hint="eastAsia" w:ascii="宋体" w:hAnsi="宋体" w:cs="宋体"/>
                <w:szCs w:val="21"/>
              </w:rPr>
            </w:pPr>
            <w:r>
              <w:rPr>
                <w:rFonts w:hint="eastAsia" w:ascii="宋体" w:hAnsi="宋体" w:cs="宋体"/>
                <w:b/>
                <w:bCs/>
                <w:szCs w:val="21"/>
              </w:rPr>
              <w:t>注：合作方如果不提供审计报告结论页、提供的审计报告出现亏损或审计报告出具的是保留意见、无法表示意见、否定意见的审计结论，该项不得分。</w:t>
            </w:r>
          </w:p>
        </w:tc>
      </w:tr>
      <w:tr w14:paraId="2E51F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10" w:hRule="atLeast"/>
        </w:trPr>
        <w:tc>
          <w:tcPr>
            <w:tcW w:w="617" w:type="pct"/>
            <w:vMerge w:val="continue"/>
            <w:noWrap w:val="0"/>
            <w:vAlign w:val="center"/>
          </w:tcPr>
          <w:p w14:paraId="76F304E8">
            <w:pPr>
              <w:widowControl/>
              <w:jc w:val="center"/>
              <w:textAlignment w:val="center"/>
              <w:rPr>
                <w:rFonts w:hint="eastAsia" w:ascii="宋体" w:hAnsi="宋体" w:cs="宋体"/>
                <w:b/>
                <w:bCs/>
                <w:kern w:val="0"/>
                <w:szCs w:val="21"/>
                <w:lang w:bidi="ar"/>
              </w:rPr>
            </w:pPr>
          </w:p>
        </w:tc>
        <w:tc>
          <w:tcPr>
            <w:tcW w:w="677" w:type="pct"/>
            <w:noWrap w:val="0"/>
            <w:vAlign w:val="center"/>
          </w:tcPr>
          <w:p w14:paraId="78409EC4">
            <w:pPr>
              <w:widowControl/>
              <w:jc w:val="center"/>
              <w:textAlignment w:val="center"/>
              <w:rPr>
                <w:rFonts w:hint="eastAsia" w:ascii="宋体" w:hAnsi="宋体" w:cs="宋体"/>
                <w:szCs w:val="21"/>
              </w:rPr>
            </w:pPr>
            <w:r>
              <w:rPr>
                <w:rFonts w:hint="eastAsia" w:ascii="宋体" w:hAnsi="宋体" w:cs="宋体"/>
                <w:szCs w:val="21"/>
              </w:rPr>
              <w:t>A2:行业</w:t>
            </w:r>
          </w:p>
          <w:p w14:paraId="3A8AF595">
            <w:pPr>
              <w:widowControl/>
              <w:jc w:val="center"/>
              <w:textAlignment w:val="center"/>
              <w:rPr>
                <w:rFonts w:hint="eastAsia" w:ascii="宋体" w:hAnsi="宋体" w:cs="宋体"/>
                <w:szCs w:val="21"/>
              </w:rPr>
            </w:pPr>
            <w:r>
              <w:rPr>
                <w:rFonts w:hint="eastAsia" w:ascii="宋体" w:hAnsi="宋体" w:cs="宋体"/>
                <w:szCs w:val="21"/>
              </w:rPr>
              <w:t>资质</w:t>
            </w:r>
          </w:p>
          <w:p w14:paraId="27D327CA">
            <w:pPr>
              <w:pStyle w:val="2"/>
              <w:spacing w:line="240" w:lineRule="auto"/>
              <w:jc w:val="center"/>
              <w:rPr>
                <w:rFonts w:hint="eastAsia" w:ascii="宋体" w:hAnsi="宋体" w:cs="宋体"/>
                <w:sz w:val="21"/>
                <w:szCs w:val="21"/>
              </w:rPr>
            </w:pPr>
            <w:r>
              <w:rPr>
                <w:rFonts w:hint="eastAsia" w:ascii="宋体" w:hAnsi="宋体" w:cs="宋体"/>
                <w:kern w:val="0"/>
                <w:sz w:val="21"/>
                <w:szCs w:val="21"/>
                <w:lang w:bidi="ar"/>
              </w:rPr>
              <w:t>（4分）</w:t>
            </w:r>
          </w:p>
        </w:tc>
        <w:tc>
          <w:tcPr>
            <w:tcW w:w="3705" w:type="pct"/>
            <w:noWrap w:val="0"/>
            <w:vAlign w:val="center"/>
          </w:tcPr>
          <w:p w14:paraId="64F27655">
            <w:pPr>
              <w:widowControl/>
              <w:jc w:val="left"/>
              <w:textAlignment w:val="center"/>
              <w:rPr>
                <w:rFonts w:hint="eastAsia" w:ascii="宋体" w:hAnsi="宋体" w:cs="宋体"/>
                <w:szCs w:val="21"/>
              </w:rPr>
            </w:pPr>
            <w:r>
              <w:rPr>
                <w:rFonts w:hint="eastAsia" w:ascii="宋体" w:hAnsi="宋体" w:cs="宋体"/>
                <w:szCs w:val="21"/>
              </w:rPr>
              <w:t>（1）合作方提供有效的相关运营平台计算机软件著作权登记证书的，得2分。（相关节目运营支撑平台计算机软件著作权证书包括但不限于：运营管理平台计算机软件著作权登记证书、门户平台计算机软件著作权登记证书、运营系统计算机软件著作权登记证书、媒资管理系统证书、驻地运营系统证书）；</w:t>
            </w:r>
          </w:p>
          <w:p w14:paraId="43CA246C">
            <w:pPr>
              <w:widowControl/>
              <w:jc w:val="left"/>
              <w:textAlignment w:val="center"/>
              <w:rPr>
                <w:rFonts w:hint="eastAsia" w:ascii="宋体" w:hAnsi="宋体" w:cs="宋体"/>
                <w:szCs w:val="21"/>
              </w:rPr>
            </w:pPr>
            <w:r>
              <w:rPr>
                <w:rFonts w:hint="eastAsia" w:ascii="宋体" w:hAnsi="宋体" w:cs="宋体"/>
                <w:szCs w:val="21"/>
              </w:rPr>
              <w:t>（2）合作方提供有效的从事互联网信息服务业务相关证书的，得2分。（互联网信息服务业务相关证书包括但不限于：信息网络传播视听节目许可证、</w:t>
            </w:r>
            <w:r>
              <w:rPr>
                <w:rFonts w:hint="eastAsia" w:ascii="宋体" w:hAnsi="宋体" w:cs="宋体"/>
                <w:szCs w:val="21"/>
              </w:rPr>
              <w:fldChar w:fldCharType="begin"/>
            </w:r>
            <w:r>
              <w:rPr>
                <w:rFonts w:hint="eastAsia" w:ascii="宋体" w:hAnsi="宋体" w:cs="宋体"/>
                <w:szCs w:val="21"/>
              </w:rPr>
              <w:instrText xml:space="preserve"> HYPERLINK "https://baike.baidu.com/item/%E5%B9%BF%E6%92%AD%E7%94%B5%E8%A7%86%E8%8A%82%E7%9B%AE%E5%88%B6%E4%BD%9C%E7%BB%8F%E8%90%A5%E8%AE%B8%E5%8F%AF%E8%AF%81/7127344?fromModule=lemma_inlink" \t "https://baike.baidu.com/item/%E4%BF%A1%E6%81%AF%E7%BD%91%E7%BB%9C%E4%BC%A0%E6%92%AD%E8%A7%86%E5%90%AC%E8%8A%82%E7%9B%AE%E8%AE%B8%E5%8F%AF%E8%AF%81/_blank" </w:instrText>
            </w:r>
            <w:r>
              <w:rPr>
                <w:rFonts w:hint="eastAsia" w:ascii="宋体" w:hAnsi="宋体" w:cs="宋体"/>
                <w:szCs w:val="21"/>
              </w:rPr>
              <w:fldChar w:fldCharType="separate"/>
            </w:r>
            <w:r>
              <w:rPr>
                <w:rFonts w:hint="eastAsia" w:ascii="宋体" w:hAnsi="宋体" w:cs="宋体"/>
                <w:szCs w:val="21"/>
              </w:rPr>
              <w:t>广播电视节目制作经营许可证</w:t>
            </w:r>
            <w:r>
              <w:rPr>
                <w:rFonts w:hint="eastAsia" w:ascii="宋体" w:hAnsi="宋体" w:cs="宋体"/>
                <w:szCs w:val="21"/>
              </w:rPr>
              <w:fldChar w:fldCharType="end"/>
            </w:r>
            <w:r>
              <w:rPr>
                <w:rFonts w:hint="eastAsia" w:ascii="宋体" w:hAnsi="宋体" w:cs="宋体"/>
                <w:szCs w:val="21"/>
              </w:rPr>
              <w:t>、增值电信业务经营许可证、网络文化经营许可证）</w:t>
            </w:r>
          </w:p>
          <w:p w14:paraId="769A097D">
            <w:pPr>
              <w:widowControl/>
              <w:jc w:val="left"/>
              <w:textAlignment w:val="center"/>
              <w:rPr>
                <w:rFonts w:hint="eastAsia" w:ascii="宋体" w:hAnsi="宋体" w:cs="宋体"/>
                <w:szCs w:val="21"/>
              </w:rPr>
            </w:pPr>
            <w:r>
              <w:rPr>
                <w:rFonts w:hint="eastAsia" w:ascii="宋体" w:hAnsi="宋体" w:cs="宋体"/>
                <w:szCs w:val="21"/>
              </w:rPr>
              <w:t>以上两项满分4分。</w:t>
            </w:r>
          </w:p>
          <w:p w14:paraId="22C4E4BB">
            <w:pPr>
              <w:widowControl/>
              <w:jc w:val="left"/>
              <w:textAlignment w:val="center"/>
              <w:rPr>
                <w:rFonts w:hint="eastAsia" w:ascii="宋体" w:hAnsi="宋体" w:cs="宋体"/>
                <w:szCs w:val="21"/>
              </w:rPr>
            </w:pPr>
            <w:r>
              <w:rPr>
                <w:rStyle w:val="6"/>
                <w:rFonts w:hint="eastAsia" w:ascii="宋体" w:hAnsi="宋体" w:cs="宋体"/>
                <w:b/>
                <w:bCs/>
                <w:color w:val="auto"/>
                <w:sz w:val="21"/>
                <w:szCs w:val="21"/>
                <w:lang w:bidi="ar"/>
              </w:rPr>
              <w:t>注：合作方需提供相关证书复印件，如为其母公司或关联公司的需提供相应关系说明函，否则本项不得分。</w:t>
            </w:r>
          </w:p>
        </w:tc>
      </w:tr>
      <w:tr w14:paraId="59462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4" w:hRule="atLeast"/>
        </w:trPr>
        <w:tc>
          <w:tcPr>
            <w:tcW w:w="617" w:type="pct"/>
            <w:vMerge w:val="continue"/>
            <w:noWrap w:val="0"/>
            <w:vAlign w:val="center"/>
          </w:tcPr>
          <w:p w14:paraId="4802A639">
            <w:pPr>
              <w:widowControl/>
              <w:jc w:val="center"/>
              <w:textAlignment w:val="center"/>
              <w:rPr>
                <w:rFonts w:hint="eastAsia" w:ascii="宋体" w:hAnsi="宋体" w:cs="宋体"/>
                <w:b/>
                <w:bCs/>
                <w:kern w:val="0"/>
                <w:szCs w:val="21"/>
                <w:lang w:bidi="ar"/>
              </w:rPr>
            </w:pPr>
          </w:p>
        </w:tc>
        <w:tc>
          <w:tcPr>
            <w:tcW w:w="677" w:type="pct"/>
            <w:noWrap w:val="0"/>
            <w:vAlign w:val="center"/>
          </w:tcPr>
          <w:p w14:paraId="03127D83">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A3:省级平台运营合作</w:t>
            </w:r>
          </w:p>
          <w:p w14:paraId="2E4A3A8F">
            <w:pPr>
              <w:pStyle w:val="2"/>
              <w:spacing w:line="240" w:lineRule="auto"/>
              <w:jc w:val="center"/>
              <w:rPr>
                <w:rFonts w:hint="eastAsia" w:ascii="宋体" w:hAnsi="宋体" w:cs="宋体"/>
                <w:kern w:val="0"/>
                <w:sz w:val="21"/>
                <w:szCs w:val="21"/>
                <w:lang w:bidi="ar"/>
              </w:rPr>
            </w:pPr>
            <w:r>
              <w:rPr>
                <w:rFonts w:hint="eastAsia" w:ascii="宋体" w:hAnsi="宋体" w:cs="宋体"/>
                <w:kern w:val="0"/>
                <w:sz w:val="21"/>
                <w:szCs w:val="21"/>
                <w:lang w:bidi="ar"/>
              </w:rPr>
              <w:t>(10分)</w:t>
            </w:r>
          </w:p>
        </w:tc>
        <w:tc>
          <w:tcPr>
            <w:tcW w:w="3705" w:type="pct"/>
            <w:noWrap w:val="0"/>
            <w:vAlign w:val="center"/>
          </w:tcPr>
          <w:p w14:paraId="04A9EB3B">
            <w:pPr>
              <w:widowControl/>
              <w:jc w:val="left"/>
              <w:rPr>
                <w:rFonts w:hint="eastAsia" w:ascii="宋体" w:hAnsi="宋体" w:cs="宋体"/>
                <w:kern w:val="0"/>
                <w:szCs w:val="21"/>
                <w:lang w:bidi="ar"/>
              </w:rPr>
            </w:pPr>
            <w:r>
              <w:rPr>
                <w:rFonts w:hint="eastAsia" w:ascii="宋体" w:hAnsi="宋体" w:cs="宋体"/>
                <w:kern w:val="0"/>
                <w:szCs w:val="21"/>
                <w:lang w:bidi="ar"/>
              </w:rPr>
              <w:t>合作方具</w:t>
            </w:r>
            <w:r>
              <w:rPr>
                <w:rFonts w:hint="eastAsia" w:ascii="宋体" w:hAnsi="宋体" w:cs="宋体"/>
                <w:kern w:val="0"/>
                <w:szCs w:val="21"/>
                <w:highlight w:val="none"/>
                <w:lang w:bidi="ar"/>
              </w:rPr>
              <w:t>有</w:t>
            </w:r>
            <w:r>
              <w:rPr>
                <w:rStyle w:val="5"/>
                <w:rFonts w:hint="eastAsia" w:ascii="宋体" w:hAnsi="宋体" w:cs="宋体"/>
                <w:highlight w:val="none"/>
              </w:rPr>
              <w:t>2021-2024年任意一年</w:t>
            </w:r>
            <w:r>
              <w:rPr>
                <w:rFonts w:hint="eastAsia" w:ascii="宋体" w:hAnsi="宋体" w:cs="宋体"/>
                <w:kern w:val="0"/>
                <w:szCs w:val="21"/>
                <w:highlight w:val="none"/>
                <w:lang w:bidi="ar"/>
              </w:rPr>
              <w:t>至少4家IPTV\DVB\OTT健身专区运营合作案例，得</w:t>
            </w:r>
            <w:r>
              <w:rPr>
                <w:rFonts w:hint="eastAsia" w:ascii="宋体" w:hAnsi="宋体" w:cs="宋体"/>
                <w:kern w:val="0"/>
                <w:szCs w:val="21"/>
                <w:lang w:bidi="ar"/>
              </w:rPr>
              <w:t>6分，每增加1家健身专区运营合作案例的，多得1分。本项满分10分。</w:t>
            </w:r>
          </w:p>
          <w:p w14:paraId="6F17896E">
            <w:pPr>
              <w:widowControl/>
              <w:jc w:val="left"/>
              <w:rPr>
                <w:rFonts w:hint="eastAsia" w:ascii="宋体" w:hAnsi="宋体" w:cs="宋体"/>
                <w:szCs w:val="21"/>
              </w:rPr>
            </w:pPr>
            <w:r>
              <w:rPr>
                <w:rFonts w:hint="eastAsia" w:ascii="宋体" w:hAnsi="宋体" w:cs="宋体"/>
                <w:b/>
                <w:bCs/>
                <w:kern w:val="0"/>
                <w:szCs w:val="21"/>
                <w:lang w:bidi="ar"/>
              </w:rPr>
              <w:t>注：合作方需提供相关合同关键页（至少包含合同首页、运营支撑内容详情页、签字盖章页）复印件并加盖合作方单位公章，否则该项不得分。</w:t>
            </w:r>
          </w:p>
        </w:tc>
      </w:tr>
      <w:tr w14:paraId="42A2C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09" w:hRule="atLeast"/>
        </w:trPr>
        <w:tc>
          <w:tcPr>
            <w:tcW w:w="617" w:type="pct"/>
            <w:noWrap w:val="0"/>
            <w:vAlign w:val="center"/>
          </w:tcPr>
          <w:p w14:paraId="26122AA8">
            <w:pPr>
              <w:widowControl/>
              <w:numPr>
                <w:ilvl w:val="0"/>
                <w:numId w:val="1"/>
              </w:numPr>
              <w:jc w:val="center"/>
              <w:rPr>
                <w:rFonts w:hint="eastAsia" w:ascii="宋体" w:hAnsi="宋体" w:cs="宋体"/>
                <w:b/>
                <w:bCs/>
                <w:kern w:val="0"/>
                <w:szCs w:val="21"/>
                <w:lang w:bidi="ar"/>
              </w:rPr>
            </w:pPr>
            <w:r>
              <w:rPr>
                <w:rFonts w:hint="eastAsia" w:ascii="宋体" w:hAnsi="宋体" w:cs="宋体"/>
                <w:b/>
                <w:bCs/>
                <w:kern w:val="0"/>
                <w:szCs w:val="21"/>
                <w:lang w:bidi="ar"/>
              </w:rPr>
              <w:t>分成比例</w:t>
            </w:r>
          </w:p>
          <w:p w14:paraId="5D4FC6CE">
            <w:pPr>
              <w:widowControl/>
              <w:rPr>
                <w:rFonts w:hint="eastAsia" w:ascii="宋体" w:hAnsi="宋体" w:cs="宋体"/>
                <w:szCs w:val="21"/>
              </w:rPr>
            </w:pPr>
            <w:r>
              <w:rPr>
                <w:rFonts w:hint="eastAsia" w:ascii="宋体" w:hAnsi="宋体" w:cs="宋体"/>
                <w:b/>
                <w:bCs/>
                <w:kern w:val="0"/>
                <w:szCs w:val="21"/>
                <w:lang w:bidi="ar"/>
              </w:rPr>
              <w:t>（30分）</w:t>
            </w:r>
          </w:p>
        </w:tc>
        <w:tc>
          <w:tcPr>
            <w:tcW w:w="677" w:type="pct"/>
            <w:noWrap w:val="0"/>
            <w:vAlign w:val="center"/>
          </w:tcPr>
          <w:p w14:paraId="37C3DE2C">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B1：分成比例</w:t>
            </w:r>
          </w:p>
          <w:p w14:paraId="65146974">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（30分）</w:t>
            </w:r>
          </w:p>
        </w:tc>
        <w:tc>
          <w:tcPr>
            <w:tcW w:w="3705" w:type="pct"/>
            <w:noWrap w:val="0"/>
            <w:vAlign w:val="center"/>
          </w:tcPr>
          <w:p w14:paraId="1B7F7BE7">
            <w:pPr>
              <w:widowControl/>
              <w:jc w:val="left"/>
              <w:textAlignment w:val="center"/>
              <w:rPr>
                <w:rFonts w:hint="eastAsia" w:ascii="宋体" w:hAnsi="宋体" w:cs="宋体"/>
                <w:szCs w:val="21"/>
              </w:rPr>
            </w:pPr>
            <w:r>
              <w:rPr>
                <w:rFonts w:hint="eastAsia" w:ascii="宋体" w:hAnsi="宋体" w:cs="宋体"/>
                <w:szCs w:val="21"/>
              </w:rPr>
              <w:t>具体评分方法如下：</w:t>
            </w:r>
          </w:p>
          <w:p w14:paraId="2069723C">
            <w:pPr>
              <w:widowControl/>
              <w:numPr>
                <w:ilvl w:val="0"/>
                <w:numId w:val="2"/>
              </w:numPr>
              <w:jc w:val="left"/>
              <w:textAlignment w:val="center"/>
              <w:rPr>
                <w:rFonts w:hint="eastAsia" w:ascii="宋体" w:hAnsi="宋体" w:cs="宋体"/>
                <w:szCs w:val="21"/>
              </w:rPr>
            </w:pPr>
            <w:r>
              <w:rPr>
                <w:rFonts w:hint="eastAsia" w:ascii="宋体" w:hAnsi="宋体" w:cs="宋体"/>
                <w:szCs w:val="21"/>
              </w:rPr>
              <w:t>分成占比基准值的确定：</w:t>
            </w:r>
          </w:p>
          <w:p w14:paraId="15E5B8F2">
            <w:pPr>
              <w:widowControl/>
              <w:jc w:val="left"/>
              <w:textAlignment w:val="center"/>
              <w:rPr>
                <w:rFonts w:hint="eastAsia" w:ascii="宋体" w:hAnsi="宋体" w:cs="宋体"/>
                <w:szCs w:val="21"/>
              </w:rPr>
            </w:pPr>
            <w:r>
              <w:rPr>
                <w:rFonts w:hint="eastAsia" w:ascii="宋体" w:hAnsi="宋体" w:cs="宋体"/>
                <w:szCs w:val="21"/>
              </w:rPr>
              <w:t>①当合格合作方数量＜5时，分成占比基准值＝所有合格合作方承诺的分成占比算数平均值；</w:t>
            </w:r>
          </w:p>
          <w:p w14:paraId="2FD75BAB">
            <w:pPr>
              <w:widowControl/>
              <w:jc w:val="left"/>
              <w:textAlignment w:val="center"/>
              <w:rPr>
                <w:rFonts w:hint="eastAsia" w:ascii="宋体" w:hAnsi="宋体" w:cs="宋体"/>
                <w:szCs w:val="21"/>
              </w:rPr>
            </w:pPr>
            <w:r>
              <w:rPr>
                <w:rFonts w:hint="eastAsia" w:ascii="宋体" w:hAnsi="宋体" w:cs="宋体"/>
                <w:szCs w:val="21"/>
              </w:rPr>
              <w:t>②当5≤合格合作方＜7时，去掉一个最高合格合作方承诺的分成占比、去掉一个最低合格合作方承诺的分成占比，分成占比基准值＝余下合格合作方承诺的分成占比算数平均值；</w:t>
            </w:r>
          </w:p>
          <w:p w14:paraId="2493B32E">
            <w:pPr>
              <w:widowControl/>
              <w:numPr>
                <w:ilvl w:val="0"/>
                <w:numId w:val="2"/>
              </w:numPr>
              <w:jc w:val="left"/>
              <w:textAlignment w:val="center"/>
              <w:rPr>
                <w:rFonts w:hint="eastAsia" w:ascii="宋体" w:hAnsi="宋体" w:cs="宋体"/>
                <w:szCs w:val="21"/>
              </w:rPr>
            </w:pPr>
            <w:r>
              <w:rPr>
                <w:rFonts w:hint="eastAsia" w:ascii="宋体" w:hAnsi="宋体" w:cs="宋体"/>
                <w:szCs w:val="21"/>
              </w:rPr>
              <w:t>分成比例得分的计算：</w:t>
            </w:r>
          </w:p>
          <w:p w14:paraId="69E2777C">
            <w:pPr>
              <w:widowControl/>
              <w:jc w:val="left"/>
              <w:textAlignment w:val="center"/>
              <w:rPr>
                <w:rFonts w:hint="eastAsia" w:ascii="宋体" w:hAnsi="宋体" w:cs="宋体"/>
                <w:szCs w:val="21"/>
              </w:rPr>
            </w:pPr>
            <w:r>
              <w:rPr>
                <w:rFonts w:hint="eastAsia" w:ascii="宋体" w:hAnsi="宋体" w:cs="宋体"/>
                <w:szCs w:val="21"/>
              </w:rPr>
              <w:t>①当合作方承诺的分成占比＝分成占比基准值时，分成比例得分等于30分；</w:t>
            </w:r>
          </w:p>
          <w:p w14:paraId="2919020A">
            <w:pPr>
              <w:widowControl/>
              <w:jc w:val="left"/>
              <w:textAlignment w:val="center"/>
              <w:rPr>
                <w:rFonts w:hint="eastAsia" w:ascii="宋体" w:hAnsi="宋体" w:cs="宋体"/>
                <w:szCs w:val="21"/>
              </w:rPr>
            </w:pPr>
            <w:r>
              <w:rPr>
                <w:rFonts w:hint="eastAsia" w:ascii="宋体" w:hAnsi="宋体" w:cs="宋体"/>
                <w:szCs w:val="21"/>
              </w:rPr>
              <w:t>②当合作方承诺的分成占比＞分成占比基准值时，分成比例得分＝30-（合作方分成占比-分成占比基准值）×60×2；</w:t>
            </w:r>
          </w:p>
          <w:p w14:paraId="775C80AE">
            <w:pPr>
              <w:widowControl/>
              <w:jc w:val="left"/>
              <w:textAlignment w:val="center"/>
              <w:rPr>
                <w:rFonts w:ascii="宋体" w:hAnsi="宋体" w:cs="宋体"/>
                <w:szCs w:val="21"/>
                <w:lang w:eastAsia="zh-Hans"/>
              </w:rPr>
            </w:pPr>
            <w:r>
              <w:rPr>
                <w:rFonts w:hint="eastAsia" w:ascii="宋体" w:hAnsi="宋体" w:cs="宋体"/>
                <w:szCs w:val="21"/>
              </w:rPr>
              <w:t>③当合作方承诺的分成占比＜分成占比基准值时，分成比例得分＝30-（分成占比基准值-合作方分成占比）×60×0.5。</w:t>
            </w:r>
          </w:p>
          <w:p w14:paraId="2351A218">
            <w:pPr>
              <w:pStyle w:val="2"/>
              <w:spacing w:line="240" w:lineRule="auto"/>
              <w:rPr>
                <w:rFonts w:hint="eastAsia" w:ascii="宋体" w:hAnsi="宋体" w:cs="宋体"/>
                <w:b/>
                <w:bCs/>
                <w:sz w:val="21"/>
                <w:szCs w:val="21"/>
              </w:rPr>
            </w:pPr>
            <w:r>
              <w:rPr>
                <w:rFonts w:hint="eastAsia" w:ascii="宋体" w:hAnsi="宋体" w:cs="宋体"/>
                <w:b/>
                <w:bCs/>
                <w:kern w:val="0"/>
                <w:sz w:val="21"/>
                <w:szCs w:val="21"/>
                <w:lang w:bidi="ar"/>
              </w:rPr>
              <w:t>注：合作方需提供相关分成比例的合作服务承诺函，并加盖单位公章,否则本项不得分。</w:t>
            </w:r>
          </w:p>
        </w:tc>
      </w:tr>
      <w:tr w14:paraId="5B46C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1" w:hRule="atLeast"/>
        </w:trPr>
        <w:tc>
          <w:tcPr>
            <w:tcW w:w="617" w:type="pct"/>
            <w:vMerge w:val="restart"/>
            <w:noWrap w:val="0"/>
            <w:vAlign w:val="center"/>
          </w:tcPr>
          <w:p w14:paraId="18ADBC9D">
            <w:pPr>
              <w:widowControl/>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 xml:space="preserve">C.内容部分评分 </w:t>
            </w:r>
          </w:p>
          <w:p w14:paraId="04E7DC9A">
            <w:pPr>
              <w:widowControl/>
              <w:jc w:val="center"/>
              <w:textAlignment w:val="center"/>
              <w:rPr>
                <w:rFonts w:hint="eastAsia" w:ascii="宋体" w:hAnsi="宋体" w:cs="宋体"/>
                <w:szCs w:val="21"/>
              </w:rPr>
            </w:pPr>
            <w:r>
              <w:rPr>
                <w:rFonts w:hint="eastAsia" w:ascii="宋体" w:hAnsi="宋体" w:cs="宋体"/>
                <w:b/>
                <w:bCs/>
                <w:kern w:val="0"/>
                <w:szCs w:val="21"/>
                <w:lang w:bidi="ar"/>
              </w:rPr>
              <w:t>（35分）</w:t>
            </w:r>
          </w:p>
        </w:tc>
        <w:tc>
          <w:tcPr>
            <w:tcW w:w="677" w:type="pct"/>
            <w:noWrap w:val="0"/>
            <w:vAlign w:val="center"/>
          </w:tcPr>
          <w:p w14:paraId="18A77C6E">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C1:底量节目数量</w:t>
            </w:r>
          </w:p>
          <w:p w14:paraId="7205D989">
            <w:pPr>
              <w:jc w:val="center"/>
              <w:rPr>
                <w:rFonts w:hint="eastAsia" w:ascii="宋体" w:hAnsi="宋体" w:cs="宋体"/>
                <w:szCs w:val="21"/>
              </w:rPr>
            </w:pPr>
            <w:r>
              <w:rPr>
                <w:rFonts w:hint="eastAsia" w:ascii="宋体" w:hAnsi="宋体" w:cs="宋体"/>
                <w:kern w:val="0"/>
                <w:szCs w:val="21"/>
                <w:lang w:bidi="ar"/>
              </w:rPr>
              <w:t>（10分）</w:t>
            </w:r>
          </w:p>
        </w:tc>
        <w:tc>
          <w:tcPr>
            <w:tcW w:w="3705" w:type="pct"/>
            <w:noWrap w:val="0"/>
            <w:vAlign w:val="center"/>
          </w:tcPr>
          <w:p w14:paraId="4BF95802">
            <w:pPr>
              <w:pStyle w:val="2"/>
              <w:spacing w:line="240" w:lineRule="auto"/>
              <w:rPr>
                <w:rFonts w:hint="eastAsia" w:ascii="宋体" w:hAnsi="宋体" w:cs="宋体"/>
                <w:sz w:val="21"/>
                <w:szCs w:val="21"/>
              </w:rPr>
            </w:pPr>
            <w:r>
              <w:rPr>
                <w:rFonts w:hint="eastAsia" w:ascii="宋体" w:hAnsi="宋体" w:cs="宋体"/>
                <w:sz w:val="21"/>
                <w:szCs w:val="21"/>
              </w:rPr>
              <w:t>根据各合作方拥有底量节目的数量进行评分。合作方承诺提供的节目量不少于2000小时（其中合作方承诺的底量节目中分辨率达720P及以上的高清节目须达1600小时或以上；版权起始时间大于等于一年及以上的节目须2000小时或以上，版权授权开始时间可早于招募时间）的，得8分。否则该项不得分。</w:t>
            </w:r>
          </w:p>
          <w:p w14:paraId="20FC4004">
            <w:pPr>
              <w:pStyle w:val="2"/>
              <w:spacing w:line="240" w:lineRule="auto"/>
              <w:rPr>
                <w:rFonts w:hint="eastAsia" w:ascii="宋体" w:hAnsi="宋体" w:cs="宋体"/>
                <w:sz w:val="21"/>
                <w:szCs w:val="21"/>
              </w:rPr>
            </w:pPr>
            <w:r>
              <w:rPr>
                <w:rStyle w:val="7"/>
                <w:color w:val="auto"/>
                <w:sz w:val="21"/>
                <w:szCs w:val="21"/>
                <w:lang w:bidi="ar"/>
              </w:rPr>
              <w:t>在此基础上，每增加300小时（</w:t>
            </w:r>
            <w:r>
              <w:rPr>
                <w:rFonts w:hint="eastAsia" w:ascii="宋体" w:hAnsi="宋体" w:cs="宋体"/>
                <w:sz w:val="21"/>
                <w:szCs w:val="21"/>
              </w:rPr>
              <w:t>其中分辨率达720P及以上的高清节目须达300小时或以上；版权起始时间大于等于一年及以上的节目须达</w:t>
            </w:r>
            <w:r>
              <w:rPr>
                <w:rStyle w:val="7"/>
                <w:color w:val="auto"/>
                <w:sz w:val="21"/>
                <w:szCs w:val="21"/>
                <w:lang w:bidi="ar"/>
              </w:rPr>
              <w:t>300</w:t>
            </w:r>
            <w:r>
              <w:rPr>
                <w:rFonts w:hint="eastAsia" w:ascii="宋体" w:hAnsi="宋体" w:cs="宋体"/>
                <w:sz w:val="21"/>
                <w:szCs w:val="21"/>
              </w:rPr>
              <w:t>小时或以上，版权授权开始时间可早于招募时间</w:t>
            </w:r>
            <w:r>
              <w:rPr>
                <w:rStyle w:val="7"/>
                <w:color w:val="auto"/>
                <w:sz w:val="21"/>
                <w:szCs w:val="21"/>
                <w:lang w:bidi="ar"/>
              </w:rPr>
              <w:t>）的，多得1分。本</w:t>
            </w:r>
            <w:r>
              <w:rPr>
                <w:rFonts w:hint="eastAsia" w:ascii="宋体" w:hAnsi="宋体" w:cs="宋体"/>
                <w:sz w:val="21"/>
                <w:szCs w:val="21"/>
              </w:rPr>
              <w:t>项满分10分。</w:t>
            </w:r>
          </w:p>
          <w:p w14:paraId="4D0D049D">
            <w:pPr>
              <w:pStyle w:val="2"/>
              <w:spacing w:line="240" w:lineRule="auto"/>
              <w:rPr>
                <w:rFonts w:hint="eastAsia" w:ascii="宋体" w:hAnsi="宋体" w:cs="宋体"/>
                <w:sz w:val="21"/>
                <w:szCs w:val="21"/>
              </w:rPr>
            </w:pPr>
            <w:r>
              <w:rPr>
                <w:rFonts w:hint="eastAsia" w:ascii="宋体" w:hAnsi="宋体" w:cs="宋体"/>
                <w:b/>
                <w:bCs/>
                <w:sz w:val="21"/>
                <w:szCs w:val="21"/>
              </w:rPr>
              <w:t>注：合作方需提供针对以上底量节目的合作服务承诺函，并加盖单位公章；合作提供电子版底量节目单（表格格式见本招募文件附表《节目详单》）备查。</w:t>
            </w:r>
          </w:p>
        </w:tc>
      </w:tr>
      <w:tr w14:paraId="41B4B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32" w:hRule="atLeast"/>
        </w:trPr>
        <w:tc>
          <w:tcPr>
            <w:tcW w:w="617" w:type="pct"/>
            <w:vMerge w:val="continue"/>
            <w:noWrap w:val="0"/>
            <w:vAlign w:val="center"/>
          </w:tcPr>
          <w:p w14:paraId="4DC7D24A">
            <w:pPr>
              <w:widowControl/>
              <w:jc w:val="center"/>
              <w:textAlignment w:val="center"/>
              <w:rPr>
                <w:rFonts w:hint="eastAsia" w:ascii="宋体" w:hAnsi="宋体" w:cs="宋体"/>
                <w:b/>
                <w:bCs/>
                <w:kern w:val="0"/>
                <w:szCs w:val="21"/>
                <w:lang w:bidi="ar"/>
              </w:rPr>
            </w:pPr>
          </w:p>
        </w:tc>
        <w:tc>
          <w:tcPr>
            <w:tcW w:w="677" w:type="pct"/>
            <w:noWrap w:val="0"/>
            <w:vAlign w:val="center"/>
          </w:tcPr>
          <w:p w14:paraId="46B586E1">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C2:节目更新量</w:t>
            </w:r>
          </w:p>
          <w:p w14:paraId="5D5472A8">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（5分）</w:t>
            </w:r>
          </w:p>
        </w:tc>
        <w:tc>
          <w:tcPr>
            <w:tcW w:w="3705" w:type="pct"/>
            <w:noWrap w:val="0"/>
            <w:vAlign w:val="center"/>
          </w:tcPr>
          <w:p w14:paraId="69ADC945">
            <w:pPr>
              <w:widowControl/>
              <w:jc w:val="left"/>
              <w:textAlignment w:val="center"/>
              <w:rPr>
                <w:rFonts w:hint="eastAsia" w:ascii="宋体" w:hAnsi="宋体" w:cs="宋体"/>
                <w:szCs w:val="21"/>
              </w:rPr>
            </w:pPr>
            <w:r>
              <w:rPr>
                <w:rFonts w:hint="eastAsia" w:ascii="宋体" w:hAnsi="宋体" w:cs="宋体"/>
                <w:szCs w:val="21"/>
              </w:rPr>
              <w:t>合作方承诺合作期间月均更新节目量不少于</w:t>
            </w:r>
            <w:r>
              <w:rPr>
                <w:rFonts w:hint="eastAsia" w:ascii="宋体" w:hAnsi="宋体" w:cs="宋体"/>
                <w:szCs w:val="21"/>
                <w:highlight w:val="none"/>
              </w:rPr>
              <w:t>30小时</w:t>
            </w:r>
            <w:r>
              <w:rPr>
                <w:rFonts w:hint="eastAsia" w:ascii="宋体" w:hAnsi="宋体" w:cs="宋体"/>
                <w:szCs w:val="21"/>
              </w:rPr>
              <w:t>的，得5分，否则该项不得分。本项满分</w:t>
            </w:r>
            <w:r>
              <w:rPr>
                <w:rFonts w:ascii="宋体" w:hAnsi="宋体" w:cs="宋体"/>
                <w:szCs w:val="21"/>
              </w:rPr>
              <w:t>5</w:t>
            </w:r>
            <w:r>
              <w:rPr>
                <w:rFonts w:hint="eastAsia" w:ascii="宋体" w:hAnsi="宋体" w:cs="宋体"/>
                <w:szCs w:val="21"/>
              </w:rPr>
              <w:t>分。</w:t>
            </w:r>
          </w:p>
          <w:p w14:paraId="2D5F6CEC">
            <w:pPr>
              <w:widowControl/>
              <w:jc w:val="left"/>
              <w:textAlignment w:val="center"/>
              <w:rPr>
                <w:rFonts w:hint="eastAsia" w:ascii="宋体" w:hAnsi="宋体" w:cs="宋体"/>
                <w:szCs w:val="21"/>
              </w:rPr>
            </w:pPr>
            <w:r>
              <w:rPr>
                <w:rFonts w:hint="eastAsia" w:ascii="宋体" w:hAnsi="宋体" w:cs="宋体"/>
                <w:b/>
                <w:bCs/>
                <w:szCs w:val="21"/>
              </w:rPr>
              <w:t>注：合作方需提供合作服务承诺函，并加盖合作方单位公章,否则本项不得分。</w:t>
            </w:r>
          </w:p>
        </w:tc>
      </w:tr>
      <w:tr w14:paraId="06386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8" w:hRule="atLeast"/>
        </w:trPr>
        <w:tc>
          <w:tcPr>
            <w:tcW w:w="617" w:type="pct"/>
            <w:vMerge w:val="continue"/>
            <w:noWrap w:val="0"/>
            <w:vAlign w:val="center"/>
          </w:tcPr>
          <w:p w14:paraId="50A01973">
            <w:pPr>
              <w:widowControl/>
              <w:jc w:val="center"/>
              <w:textAlignment w:val="center"/>
              <w:rPr>
                <w:rFonts w:hint="eastAsia" w:ascii="宋体" w:hAnsi="宋体" w:cs="宋体"/>
                <w:szCs w:val="21"/>
              </w:rPr>
            </w:pPr>
          </w:p>
        </w:tc>
        <w:tc>
          <w:tcPr>
            <w:tcW w:w="677" w:type="pct"/>
            <w:noWrap w:val="0"/>
            <w:vAlign w:val="center"/>
          </w:tcPr>
          <w:p w14:paraId="18F48F05">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C3:健身</w:t>
            </w:r>
          </w:p>
          <w:p w14:paraId="61B6D69F">
            <w:pPr>
              <w:widowControl/>
              <w:jc w:val="center"/>
              <w:textAlignment w:val="center"/>
              <w:rPr>
                <w:rFonts w:ascii="宋体" w:hAnsi="宋体" w:cs="宋体"/>
                <w:kern w:val="0"/>
                <w:szCs w:val="21"/>
                <w:lang w:eastAsia="zh-Hans" w:bidi="ar"/>
              </w:rPr>
            </w:pPr>
            <w:r>
              <w:rPr>
                <w:rFonts w:hint="eastAsia" w:ascii="宋体" w:hAnsi="宋体" w:cs="宋体"/>
                <w:kern w:val="0"/>
                <w:szCs w:val="21"/>
                <w:lang w:eastAsia="zh-Hans" w:bidi="ar"/>
              </w:rPr>
              <w:t>品牌</w:t>
            </w:r>
          </w:p>
          <w:p w14:paraId="5DFE2378">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（20分）</w:t>
            </w:r>
          </w:p>
        </w:tc>
        <w:tc>
          <w:tcPr>
            <w:tcW w:w="3705" w:type="pct"/>
            <w:noWrap w:val="0"/>
            <w:vAlign w:val="center"/>
          </w:tcPr>
          <w:p w14:paraId="42F333AD">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根据合作方拥有的健身品牌授权进行打分。拥有如</w:t>
            </w:r>
            <w:r>
              <w:rPr>
                <w:rFonts w:hint="eastAsia" w:ascii="宋体" w:hAnsi="宋体" w:cs="宋体"/>
                <w:kern w:val="0"/>
                <w:szCs w:val="21"/>
                <w:highlight w:val="none"/>
                <w:lang w:bidi="ar"/>
              </w:rPr>
              <w:t>Keep、Fit、Fittime、菲哈健身、天天健身、小主健身</w:t>
            </w:r>
            <w:r>
              <w:rPr>
                <w:rFonts w:hint="eastAsia" w:ascii="宋体" w:hAnsi="宋体" w:cs="宋体"/>
                <w:kern w:val="0"/>
                <w:szCs w:val="21"/>
                <w:highlight w:val="none"/>
                <w:lang w:eastAsia="zh-CN" w:bidi="ar"/>
              </w:rPr>
              <w:t>、</w:t>
            </w:r>
            <w:r>
              <w:rPr>
                <w:rFonts w:hint="eastAsia" w:ascii="宋体" w:hAnsi="宋体" w:cs="宋体"/>
                <w:kern w:val="0"/>
                <w:szCs w:val="21"/>
                <w:highlight w:val="none"/>
                <w:lang w:val="en-US" w:eastAsia="zh-CN" w:bidi="ar"/>
              </w:rPr>
              <w:t>每日瑜伽</w:t>
            </w:r>
            <w:r>
              <w:rPr>
                <w:rFonts w:hint="eastAsia" w:ascii="宋体" w:hAnsi="宋体" w:cs="宋体"/>
                <w:kern w:val="0"/>
                <w:szCs w:val="21"/>
                <w:lang w:bidi="ar"/>
              </w:rPr>
              <w:t>等健身品牌授权任意4个的，得12分，每增加1个健身品牌授权的，多得2分，本项满分20分；</w:t>
            </w:r>
          </w:p>
          <w:p w14:paraId="4D4CC556">
            <w:pPr>
              <w:widowControl/>
              <w:jc w:val="left"/>
              <w:textAlignment w:val="center"/>
              <w:rPr>
                <w:rFonts w:hint="eastAsia" w:ascii="宋体" w:hAnsi="宋体" w:cs="宋体"/>
                <w:b/>
                <w:bCs/>
                <w:szCs w:val="21"/>
              </w:rPr>
            </w:pPr>
            <w:r>
              <w:rPr>
                <w:rFonts w:hint="eastAsia" w:ascii="宋体" w:hAnsi="宋体" w:cs="宋体"/>
                <w:b/>
                <w:bCs/>
                <w:kern w:val="0"/>
                <w:szCs w:val="21"/>
                <w:lang w:bidi="ar"/>
              </w:rPr>
              <w:t>注：合作方需提供针对以上品牌节目的合作服务承诺函及授权文件，并加盖单位公章；合作提供电子版节目单（表格格式见本招募文件附表《节目详单》）备查。</w:t>
            </w:r>
          </w:p>
        </w:tc>
      </w:tr>
      <w:tr w14:paraId="5E287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90" w:hRule="atLeast"/>
        </w:trPr>
        <w:tc>
          <w:tcPr>
            <w:tcW w:w="617" w:type="pct"/>
            <w:vMerge w:val="restart"/>
            <w:noWrap w:val="0"/>
            <w:vAlign w:val="center"/>
          </w:tcPr>
          <w:p w14:paraId="65E59986">
            <w:pPr>
              <w:widowControl/>
              <w:jc w:val="center"/>
              <w:textAlignment w:val="center"/>
              <w:rPr>
                <w:rFonts w:hint="eastAsia" w:ascii="宋体" w:hAnsi="宋体" w:cs="宋体"/>
                <w:b/>
                <w:bCs/>
                <w:szCs w:val="21"/>
              </w:rPr>
            </w:pPr>
            <w:r>
              <w:rPr>
                <w:rFonts w:hint="eastAsia" w:ascii="宋体" w:hAnsi="宋体" w:cs="宋体"/>
                <w:b/>
                <w:bCs/>
                <w:szCs w:val="21"/>
              </w:rPr>
              <w:t>D.运营支撑</w:t>
            </w:r>
          </w:p>
          <w:p w14:paraId="6C391490">
            <w:pPr>
              <w:pStyle w:val="2"/>
              <w:spacing w:line="240" w:lineRule="auto"/>
              <w:jc w:val="center"/>
              <w:rPr>
                <w:rFonts w:hint="eastAsia" w:ascii="宋体" w:hAnsi="宋体" w:cs="宋体"/>
                <w:sz w:val="21"/>
                <w:szCs w:val="21"/>
              </w:rPr>
            </w:pPr>
            <w:r>
              <w:rPr>
                <w:rFonts w:hint="eastAsia" w:ascii="宋体" w:hAnsi="宋体" w:cs="宋体"/>
                <w:b/>
                <w:bCs/>
                <w:kern w:val="0"/>
                <w:sz w:val="21"/>
                <w:szCs w:val="21"/>
                <w:lang w:bidi="ar"/>
              </w:rPr>
              <w:t>（15分）</w:t>
            </w:r>
          </w:p>
        </w:tc>
        <w:tc>
          <w:tcPr>
            <w:tcW w:w="677" w:type="pct"/>
            <w:noWrap w:val="0"/>
            <w:vAlign w:val="center"/>
          </w:tcPr>
          <w:p w14:paraId="2D462973">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D1:</w:t>
            </w:r>
            <w:r>
              <w:rPr>
                <w:rFonts w:hint="eastAsia" w:ascii="宋体" w:hAnsi="宋体" w:cs="宋体"/>
                <w:szCs w:val="21"/>
              </w:rPr>
              <w:t>运营合作</w:t>
            </w:r>
          </w:p>
          <w:p w14:paraId="0484335E">
            <w:pPr>
              <w:widowControl/>
              <w:jc w:val="center"/>
              <w:textAlignment w:val="center"/>
              <w:rPr>
                <w:rFonts w:hint="eastAsia" w:ascii="宋体" w:hAnsi="宋体" w:cs="宋体"/>
                <w:szCs w:val="21"/>
              </w:rPr>
            </w:pPr>
            <w:r>
              <w:rPr>
                <w:rFonts w:hint="eastAsia" w:ascii="宋体" w:hAnsi="宋体" w:cs="宋体"/>
                <w:kern w:val="0"/>
                <w:szCs w:val="21"/>
                <w:lang w:bidi="ar"/>
              </w:rPr>
              <w:t>（5分）</w:t>
            </w:r>
          </w:p>
        </w:tc>
        <w:tc>
          <w:tcPr>
            <w:tcW w:w="3705" w:type="pct"/>
            <w:noWrap w:val="0"/>
            <w:vAlign w:val="center"/>
          </w:tcPr>
          <w:p w14:paraId="0BBD60BE">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合作方具备打造线上线下互动型产品的能力，能为互动平台定制化开发AI体感健身、健身数据同步功能的，得3分；拥有智能硬件设备，可打造或兼容其他互联网健身产品的，多得2分。本项满分5分。</w:t>
            </w:r>
          </w:p>
          <w:p w14:paraId="07BF8EE0">
            <w:pPr>
              <w:widowControl/>
              <w:jc w:val="left"/>
              <w:textAlignment w:val="center"/>
              <w:rPr>
                <w:rFonts w:hint="eastAsia" w:ascii="宋体" w:hAnsi="宋体" w:cs="宋体"/>
                <w:kern w:val="0"/>
                <w:szCs w:val="21"/>
                <w:lang w:bidi="ar"/>
              </w:rPr>
            </w:pPr>
            <w:r>
              <w:rPr>
                <w:rFonts w:hint="eastAsia" w:ascii="宋体" w:hAnsi="宋体" w:cs="宋体"/>
                <w:b/>
                <w:bCs/>
                <w:szCs w:val="21"/>
              </w:rPr>
              <w:t>注：合作方需提供合作服务承诺函，并加盖单位公章,否则本项不得分。</w:t>
            </w:r>
          </w:p>
        </w:tc>
      </w:tr>
      <w:tr w14:paraId="1FE30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90" w:hRule="atLeast"/>
        </w:trPr>
        <w:tc>
          <w:tcPr>
            <w:tcW w:w="617" w:type="pct"/>
            <w:vMerge w:val="continue"/>
            <w:noWrap w:val="0"/>
            <w:vAlign w:val="center"/>
          </w:tcPr>
          <w:p w14:paraId="6E602404">
            <w:pPr>
              <w:pStyle w:val="2"/>
              <w:spacing w:line="240" w:lineRule="auto"/>
              <w:jc w:val="center"/>
              <w:rPr>
                <w:rFonts w:hint="eastAsia" w:ascii="宋体" w:hAnsi="宋体" w:cs="宋体"/>
                <w:b/>
                <w:bCs/>
                <w:kern w:val="0"/>
                <w:sz w:val="21"/>
                <w:szCs w:val="21"/>
                <w:lang w:bidi="ar"/>
              </w:rPr>
            </w:pPr>
          </w:p>
        </w:tc>
        <w:tc>
          <w:tcPr>
            <w:tcW w:w="677" w:type="pct"/>
            <w:noWrap w:val="0"/>
            <w:vAlign w:val="center"/>
          </w:tcPr>
          <w:p w14:paraId="02302F97">
            <w:pPr>
              <w:widowControl/>
              <w:jc w:val="center"/>
              <w:textAlignment w:val="center"/>
              <w:rPr>
                <w:rFonts w:ascii="宋体" w:hAnsi="宋体" w:cs="宋体"/>
                <w:szCs w:val="21"/>
              </w:rPr>
            </w:pPr>
            <w:r>
              <w:rPr>
                <w:rFonts w:hint="eastAsia" w:ascii="宋体" w:hAnsi="宋体" w:cs="宋体"/>
                <w:szCs w:val="21"/>
              </w:rPr>
              <w:t>D2:宣传策划</w:t>
            </w:r>
          </w:p>
          <w:p w14:paraId="03697B8E">
            <w:pPr>
              <w:pStyle w:val="2"/>
              <w:spacing w:line="240" w:lineRule="auto"/>
              <w:jc w:val="center"/>
              <w:rPr>
                <w:rFonts w:hint="eastAsia" w:ascii="宋体" w:hAnsi="宋体" w:cs="宋体"/>
                <w:sz w:val="21"/>
                <w:szCs w:val="21"/>
              </w:rPr>
            </w:pPr>
            <w:r>
              <w:rPr>
                <w:rFonts w:hint="eastAsia" w:ascii="宋体" w:hAnsi="宋体" w:cs="宋体"/>
                <w:kern w:val="0"/>
                <w:sz w:val="21"/>
                <w:szCs w:val="21"/>
                <w:lang w:bidi="ar"/>
              </w:rPr>
              <w:t>（1分）</w:t>
            </w:r>
          </w:p>
        </w:tc>
        <w:tc>
          <w:tcPr>
            <w:tcW w:w="3705" w:type="pct"/>
            <w:noWrap w:val="0"/>
            <w:vAlign w:val="center"/>
          </w:tcPr>
          <w:p w14:paraId="5299A33D">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合作方每周提供不少于3张推荐类海报素材；每月提供不少于1个专题及线上活动策划的，得1分。本项满分1分。</w:t>
            </w:r>
          </w:p>
          <w:p w14:paraId="3F57D254">
            <w:pPr>
              <w:widowControl/>
              <w:jc w:val="left"/>
              <w:textAlignment w:val="center"/>
              <w:rPr>
                <w:rFonts w:hint="eastAsia" w:ascii="宋体" w:hAnsi="宋体" w:cs="宋体"/>
                <w:b/>
                <w:bCs/>
                <w:kern w:val="0"/>
                <w:szCs w:val="21"/>
                <w:lang w:bidi="ar"/>
              </w:rPr>
            </w:pPr>
            <w:r>
              <w:rPr>
                <w:rFonts w:hint="eastAsia" w:ascii="宋体" w:hAnsi="宋体" w:cs="宋体"/>
                <w:b/>
                <w:bCs/>
                <w:kern w:val="0"/>
                <w:szCs w:val="21"/>
                <w:lang w:bidi="ar"/>
              </w:rPr>
              <w:t>注：合作方需提供针对以上海报、专题及活动策划的</w:t>
            </w:r>
            <w:r>
              <w:rPr>
                <w:rFonts w:hint="eastAsia" w:ascii="宋体" w:hAnsi="宋体" w:cs="宋体"/>
                <w:b/>
                <w:bCs/>
                <w:szCs w:val="21"/>
              </w:rPr>
              <w:t>合作服务承诺函</w:t>
            </w:r>
            <w:r>
              <w:rPr>
                <w:rFonts w:hint="eastAsia" w:ascii="宋体" w:hAnsi="宋体" w:cs="宋体"/>
                <w:b/>
                <w:bCs/>
                <w:kern w:val="0"/>
                <w:szCs w:val="21"/>
                <w:lang w:bidi="ar"/>
              </w:rPr>
              <w:t>，并加盖单位公章，否则本项不得分。</w:t>
            </w:r>
          </w:p>
        </w:tc>
      </w:tr>
      <w:tr w14:paraId="103D0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7" w:hRule="atLeast"/>
        </w:trPr>
        <w:tc>
          <w:tcPr>
            <w:tcW w:w="617" w:type="pct"/>
            <w:vMerge w:val="continue"/>
            <w:noWrap w:val="0"/>
            <w:vAlign w:val="center"/>
          </w:tcPr>
          <w:p w14:paraId="3DACD351">
            <w:pPr>
              <w:pStyle w:val="2"/>
              <w:spacing w:line="240" w:lineRule="auto"/>
              <w:jc w:val="center"/>
              <w:rPr>
                <w:rFonts w:hint="eastAsia" w:ascii="宋体" w:hAnsi="宋体" w:cs="宋体"/>
                <w:b/>
                <w:bCs/>
                <w:kern w:val="0"/>
                <w:sz w:val="21"/>
                <w:szCs w:val="21"/>
                <w:lang w:bidi="ar"/>
              </w:rPr>
            </w:pPr>
          </w:p>
        </w:tc>
        <w:tc>
          <w:tcPr>
            <w:tcW w:w="677" w:type="pct"/>
            <w:noWrap w:val="0"/>
            <w:vAlign w:val="center"/>
          </w:tcPr>
          <w:p w14:paraId="391FD135">
            <w:pPr>
              <w:widowControl/>
              <w:jc w:val="center"/>
              <w:textAlignment w:val="center"/>
              <w:rPr>
                <w:rFonts w:hint="eastAsia" w:ascii="宋体" w:hAnsi="宋体" w:cs="宋体"/>
                <w:szCs w:val="21"/>
              </w:rPr>
            </w:pPr>
            <w:r>
              <w:rPr>
                <w:rFonts w:hint="eastAsia" w:ascii="宋体" w:hAnsi="宋体" w:cs="宋体"/>
                <w:szCs w:val="21"/>
              </w:rPr>
              <w:t>D3:营销</w:t>
            </w:r>
          </w:p>
          <w:p w14:paraId="1D9D4E48">
            <w:pPr>
              <w:widowControl/>
              <w:jc w:val="center"/>
              <w:textAlignment w:val="center"/>
              <w:rPr>
                <w:rFonts w:hint="eastAsia" w:ascii="宋体" w:hAnsi="宋体" w:cs="宋体"/>
                <w:szCs w:val="21"/>
              </w:rPr>
            </w:pPr>
            <w:r>
              <w:rPr>
                <w:rFonts w:hint="eastAsia" w:ascii="宋体" w:hAnsi="宋体" w:cs="宋体"/>
                <w:szCs w:val="21"/>
              </w:rPr>
              <w:t>策划</w:t>
            </w:r>
          </w:p>
          <w:p w14:paraId="2EFB950E">
            <w:pPr>
              <w:widowControl/>
              <w:jc w:val="center"/>
              <w:textAlignment w:val="center"/>
              <w:rPr>
                <w:rFonts w:hint="eastAsia" w:ascii="宋体" w:hAnsi="宋体" w:cs="宋体"/>
                <w:szCs w:val="21"/>
              </w:rPr>
            </w:pPr>
            <w:r>
              <w:rPr>
                <w:rFonts w:hint="eastAsia" w:ascii="宋体" w:hAnsi="宋体" w:cs="宋体"/>
                <w:kern w:val="0"/>
                <w:szCs w:val="21"/>
                <w:lang w:bidi="ar"/>
              </w:rPr>
              <w:t>（5分）</w:t>
            </w:r>
          </w:p>
        </w:tc>
        <w:tc>
          <w:tcPr>
            <w:tcW w:w="3705" w:type="pct"/>
            <w:noWrap w:val="0"/>
            <w:vAlign w:val="center"/>
          </w:tcPr>
          <w:p w14:paraId="303D0CE2">
            <w:pPr>
              <w:widowControl/>
              <w:numPr>
                <w:ilvl w:val="0"/>
                <w:numId w:val="3"/>
              </w:numPr>
              <w:jc w:val="left"/>
              <w:textAlignment w:val="center"/>
              <w:rPr>
                <w:rStyle w:val="5"/>
                <w:rFonts w:hint="eastAsia" w:ascii="宋体" w:hAnsi="宋体" w:cs="宋体"/>
              </w:rPr>
            </w:pPr>
            <w:r>
              <w:rPr>
                <w:rFonts w:hint="eastAsia" w:ascii="宋体" w:hAnsi="宋体" w:cs="宋体"/>
                <w:kern w:val="0"/>
                <w:szCs w:val="21"/>
                <w:lang w:bidi="ar"/>
              </w:rPr>
              <w:t>合作方可提供覆盖重要节点的全年营销计划表</w:t>
            </w:r>
            <w:r>
              <w:rPr>
                <w:rStyle w:val="5"/>
                <w:rFonts w:hint="eastAsia" w:ascii="宋体" w:hAnsi="宋体" w:cs="宋体"/>
              </w:rPr>
              <w:t>的，得1分。本项满分1分。</w:t>
            </w:r>
          </w:p>
          <w:p w14:paraId="0DC95FBA">
            <w:pPr>
              <w:widowControl/>
              <w:numPr>
                <w:ilvl w:val="0"/>
                <w:numId w:val="3"/>
              </w:numPr>
              <w:jc w:val="left"/>
              <w:textAlignment w:val="center"/>
              <w:rPr>
                <w:rStyle w:val="5"/>
                <w:rFonts w:ascii="宋体" w:hAnsi="宋体" w:cs="宋体"/>
              </w:rPr>
            </w:pPr>
            <w:r>
              <w:rPr>
                <w:rFonts w:hint="eastAsia" w:ascii="宋体" w:hAnsi="宋体" w:cs="宋体"/>
                <w:szCs w:val="21"/>
              </w:rPr>
              <w:t>合作方在已提供</w:t>
            </w:r>
            <w:r>
              <w:rPr>
                <w:rFonts w:hint="eastAsia" w:ascii="宋体" w:hAnsi="宋体" w:cs="宋体"/>
                <w:kern w:val="0"/>
                <w:szCs w:val="21"/>
                <w:lang w:bidi="ar"/>
              </w:rPr>
              <w:t>全年营销计划表</w:t>
            </w:r>
            <w:r>
              <w:rPr>
                <w:rStyle w:val="5"/>
                <w:rFonts w:hint="eastAsia" w:ascii="宋体" w:hAnsi="宋体" w:cs="宋体"/>
              </w:rPr>
              <w:t>的基础上，提供2021-2024年任意一年与</w:t>
            </w:r>
            <w:r>
              <w:rPr>
                <w:rFonts w:hint="eastAsia" w:ascii="宋体" w:hAnsi="宋体" w:cs="宋体"/>
                <w:szCs w:val="21"/>
              </w:rPr>
              <w:t>有线或IPTV省级或省级下属地市、县区分公司联动营销的合作案例3份的，得</w:t>
            </w:r>
            <w:r>
              <w:rPr>
                <w:rFonts w:ascii="宋体" w:hAnsi="宋体" w:cs="宋体"/>
                <w:szCs w:val="21"/>
              </w:rPr>
              <w:t>2</w:t>
            </w:r>
            <w:r>
              <w:rPr>
                <w:rFonts w:hint="eastAsia" w:ascii="宋体" w:hAnsi="宋体" w:cs="宋体"/>
                <w:szCs w:val="21"/>
              </w:rPr>
              <w:t>分；每多提供1个案例的，多得1分。本项满分4分。</w:t>
            </w:r>
          </w:p>
          <w:p w14:paraId="5A9F0BBE">
            <w:pPr>
              <w:widowControl/>
              <w:jc w:val="left"/>
              <w:textAlignment w:val="center"/>
              <w:rPr>
                <w:rStyle w:val="5"/>
                <w:rFonts w:hint="eastAsia" w:ascii="宋体" w:hAnsi="宋体" w:cs="宋体"/>
              </w:rPr>
            </w:pPr>
            <w:r>
              <w:rPr>
                <w:rStyle w:val="5"/>
                <w:rFonts w:hint="eastAsia" w:ascii="宋体" w:hAnsi="宋体" w:cs="宋体"/>
              </w:rPr>
              <w:t>以上两项满分5分。</w:t>
            </w:r>
          </w:p>
          <w:p w14:paraId="023C5896">
            <w:pPr>
              <w:widowControl/>
              <w:jc w:val="left"/>
              <w:textAlignment w:val="center"/>
              <w:rPr>
                <w:rFonts w:hint="eastAsia" w:ascii="宋体" w:hAnsi="宋体" w:cs="宋体"/>
                <w:b/>
                <w:bCs/>
                <w:szCs w:val="21"/>
              </w:rPr>
            </w:pPr>
            <w:r>
              <w:rPr>
                <w:rFonts w:hint="eastAsia" w:ascii="宋体" w:hAnsi="宋体" w:cs="宋体"/>
                <w:b/>
                <w:bCs/>
                <w:kern w:val="0"/>
                <w:szCs w:val="21"/>
                <w:lang w:bidi="ar"/>
              </w:rPr>
              <w:t>注：</w:t>
            </w:r>
            <w:r>
              <w:rPr>
                <w:rFonts w:hint="eastAsia" w:ascii="宋体" w:hAnsi="宋体" w:cs="宋体"/>
                <w:b/>
                <w:bCs/>
                <w:szCs w:val="21"/>
              </w:rPr>
              <w:t>合作方需提供全年营销计划表及按全年营销计划表执行的合作服务承诺函，并加盖合作方单位公章，否则本项不得分；营销合作案例需</w:t>
            </w:r>
            <w:r>
              <w:rPr>
                <w:rFonts w:hint="eastAsia" w:ascii="宋体" w:hAnsi="宋体" w:cs="宋体"/>
                <w:b/>
                <w:bCs/>
                <w:kern w:val="0"/>
                <w:szCs w:val="21"/>
                <w:lang w:bidi="ar"/>
              </w:rPr>
              <w:t>提供相关营销合同关键页（至少包含合同首页、运营支撑内容详情页、签字盖章页）复印件，并加盖合作方单位公章，否则相关合作案例将被视为无效的合作案例。</w:t>
            </w:r>
          </w:p>
        </w:tc>
      </w:tr>
      <w:tr w14:paraId="13E1C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86" w:hRule="atLeast"/>
        </w:trPr>
        <w:tc>
          <w:tcPr>
            <w:tcW w:w="617" w:type="pct"/>
            <w:vMerge w:val="continue"/>
            <w:noWrap w:val="0"/>
            <w:vAlign w:val="center"/>
          </w:tcPr>
          <w:p w14:paraId="65799A4C">
            <w:pPr>
              <w:pStyle w:val="2"/>
              <w:spacing w:line="240" w:lineRule="auto"/>
              <w:jc w:val="center"/>
              <w:rPr>
                <w:rFonts w:hint="eastAsia" w:ascii="宋体" w:hAnsi="宋体" w:cs="宋体"/>
                <w:b/>
                <w:bCs/>
                <w:kern w:val="0"/>
                <w:sz w:val="21"/>
                <w:szCs w:val="21"/>
                <w:lang w:bidi="ar"/>
              </w:rPr>
            </w:pPr>
          </w:p>
        </w:tc>
        <w:tc>
          <w:tcPr>
            <w:tcW w:w="677" w:type="pct"/>
            <w:noWrap w:val="0"/>
            <w:vAlign w:val="center"/>
          </w:tcPr>
          <w:p w14:paraId="66DB722F">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D4:审核</w:t>
            </w:r>
          </w:p>
          <w:p w14:paraId="1B62E4B4">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经验</w:t>
            </w:r>
          </w:p>
          <w:p w14:paraId="3C24A78A">
            <w:pPr>
              <w:widowControl/>
              <w:jc w:val="center"/>
              <w:textAlignment w:val="center"/>
              <w:rPr>
                <w:rFonts w:hint="eastAsia" w:ascii="宋体" w:hAnsi="宋体" w:cs="宋体"/>
                <w:szCs w:val="21"/>
              </w:rPr>
            </w:pPr>
            <w:r>
              <w:rPr>
                <w:rFonts w:hint="eastAsia" w:ascii="宋体" w:hAnsi="宋体" w:cs="宋体"/>
                <w:kern w:val="0"/>
                <w:szCs w:val="21"/>
                <w:lang w:bidi="ar"/>
              </w:rPr>
              <w:t>（2分）</w:t>
            </w:r>
          </w:p>
        </w:tc>
        <w:tc>
          <w:tcPr>
            <w:tcW w:w="3705" w:type="pct"/>
            <w:noWrap w:val="0"/>
            <w:vAlign w:val="center"/>
          </w:tcPr>
          <w:p w14:paraId="0B92B784">
            <w:pPr>
              <w:widowControl/>
              <w:jc w:val="left"/>
              <w:textAlignment w:val="center"/>
              <w:rPr>
                <w:rFonts w:ascii="宋体" w:hAnsi="宋体" w:cs="宋体"/>
                <w:kern w:val="0"/>
                <w:szCs w:val="21"/>
                <w:lang w:bidi="ar"/>
              </w:rPr>
            </w:pPr>
            <w:r>
              <w:rPr>
                <w:rFonts w:hint="eastAsia" w:ascii="宋体" w:hAnsi="宋体" w:cs="宋体"/>
                <w:kern w:val="0"/>
                <w:szCs w:val="21"/>
                <w:lang w:bidi="ar"/>
              </w:rPr>
              <w:t>合作方应具备3年及以上省级IPTV/DVB平台合作及审核经验，具有固定的审核团队的，得1分，否则不得分。审核团队成员中具备《网络视听节目审核员证》《内容审核员证书》在2位以上的，多得1分。本项满分2分。</w:t>
            </w:r>
          </w:p>
          <w:p w14:paraId="2C0D6B6A">
            <w:pPr>
              <w:widowControl/>
              <w:jc w:val="left"/>
              <w:textAlignment w:val="center"/>
              <w:rPr>
                <w:rFonts w:hint="eastAsia" w:ascii="宋体" w:hAnsi="宋体" w:cs="宋体"/>
                <w:b/>
                <w:bCs/>
                <w:szCs w:val="21"/>
              </w:rPr>
            </w:pPr>
            <w:r>
              <w:rPr>
                <w:rFonts w:hint="eastAsia" w:ascii="宋体" w:hAnsi="宋体" w:cs="宋体"/>
                <w:b/>
                <w:bCs/>
                <w:kern w:val="0"/>
                <w:szCs w:val="21"/>
                <w:lang w:bidi="ar"/>
              </w:rPr>
              <w:t>注：合作方需提供以上审核要求的</w:t>
            </w:r>
            <w:r>
              <w:rPr>
                <w:rFonts w:hint="eastAsia" w:ascii="宋体" w:hAnsi="宋体" w:cs="宋体"/>
                <w:b/>
                <w:bCs/>
                <w:szCs w:val="21"/>
              </w:rPr>
              <w:t>合作服务承诺函</w:t>
            </w:r>
            <w:r>
              <w:rPr>
                <w:rFonts w:hint="eastAsia" w:ascii="宋体" w:hAnsi="宋体" w:cs="宋体"/>
                <w:b/>
                <w:bCs/>
                <w:kern w:val="0"/>
                <w:szCs w:val="21"/>
                <w:lang w:bidi="ar"/>
              </w:rPr>
              <w:t>，并加盖单位公章。</w:t>
            </w:r>
          </w:p>
        </w:tc>
      </w:tr>
      <w:tr w14:paraId="6C851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24" w:hRule="atLeast"/>
        </w:trPr>
        <w:tc>
          <w:tcPr>
            <w:tcW w:w="617" w:type="pct"/>
            <w:vMerge w:val="continue"/>
            <w:noWrap w:val="0"/>
            <w:vAlign w:val="center"/>
          </w:tcPr>
          <w:p w14:paraId="4BF14B88">
            <w:pPr>
              <w:widowControl/>
              <w:jc w:val="center"/>
              <w:rPr>
                <w:rFonts w:hint="eastAsia" w:ascii="宋体" w:hAnsi="宋体" w:cs="宋体"/>
                <w:szCs w:val="21"/>
              </w:rPr>
            </w:pPr>
          </w:p>
        </w:tc>
        <w:tc>
          <w:tcPr>
            <w:tcW w:w="677" w:type="pct"/>
            <w:noWrap w:val="0"/>
            <w:vAlign w:val="center"/>
          </w:tcPr>
          <w:p w14:paraId="27888107">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D5:驻地</w:t>
            </w:r>
          </w:p>
          <w:p w14:paraId="658B367C">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人员</w:t>
            </w:r>
          </w:p>
          <w:p w14:paraId="2A19A52C">
            <w:pPr>
              <w:widowControl/>
              <w:jc w:val="center"/>
              <w:textAlignment w:val="center"/>
              <w:rPr>
                <w:rFonts w:hint="eastAsia" w:ascii="宋体" w:hAnsi="宋体" w:cs="宋体"/>
                <w:szCs w:val="21"/>
              </w:rPr>
            </w:pPr>
            <w:r>
              <w:rPr>
                <w:rFonts w:hint="eastAsia" w:ascii="宋体" w:hAnsi="宋体" w:cs="宋体"/>
                <w:kern w:val="0"/>
                <w:szCs w:val="21"/>
                <w:lang w:bidi="ar"/>
              </w:rPr>
              <w:t>(2分)</w:t>
            </w:r>
          </w:p>
        </w:tc>
        <w:tc>
          <w:tcPr>
            <w:tcW w:w="3705" w:type="pct"/>
            <w:noWrap w:val="0"/>
            <w:vAlign w:val="center"/>
          </w:tcPr>
          <w:p w14:paraId="21FF53CE">
            <w:pPr>
              <w:widowControl/>
              <w:jc w:val="left"/>
              <w:textAlignment w:val="center"/>
              <w:rPr>
                <w:rFonts w:hint="eastAsia" w:ascii="宋体" w:hAnsi="宋体" w:cs="宋体"/>
                <w:szCs w:val="21"/>
              </w:rPr>
            </w:pPr>
            <w:r>
              <w:rPr>
                <w:rFonts w:hint="eastAsia" w:ascii="宋体" w:hAnsi="宋体" w:cs="宋体"/>
                <w:szCs w:val="21"/>
              </w:rPr>
              <w:t>根据合作方拟派的本地支撑团队成员数量进行评分，拟派团队中应包含1名产品经理，产品经理需有3年或以上从事相关行业工作的经验。满足以上条件的，得2分，否则不得分。本项满分2分。</w:t>
            </w:r>
          </w:p>
          <w:p w14:paraId="77F3AE78">
            <w:pPr>
              <w:widowControl/>
              <w:jc w:val="left"/>
              <w:textAlignment w:val="center"/>
              <w:rPr>
                <w:rFonts w:hint="eastAsia" w:ascii="宋体" w:hAnsi="宋体" w:cs="宋体"/>
                <w:b/>
                <w:bCs/>
                <w:szCs w:val="21"/>
              </w:rPr>
            </w:pPr>
            <w:r>
              <w:rPr>
                <w:rFonts w:hint="eastAsia" w:ascii="宋体" w:hAnsi="宋体" w:cs="宋体"/>
                <w:b/>
                <w:bCs/>
                <w:szCs w:val="21"/>
              </w:rPr>
              <w:t>注：合作方需提供拟派人员所属公司近三个月的社保缴交证明及合作服务承诺函，否则该项不得分。</w:t>
            </w:r>
          </w:p>
        </w:tc>
      </w:tr>
    </w:tbl>
    <w:p w14:paraId="1E02AD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309C7"/>
    <w:multiLevelType w:val="singleLevel"/>
    <w:tmpl w:val="802309C7"/>
    <w:lvl w:ilvl="0" w:tentative="0">
      <w:start w:val="1"/>
      <w:numFmt w:val="decimal"/>
      <w:suff w:val="nothing"/>
      <w:lvlText w:val="（%1）"/>
      <w:lvlJc w:val="left"/>
    </w:lvl>
  </w:abstractNum>
  <w:abstractNum w:abstractNumId="1">
    <w:nsid w:val="CF16BCDC"/>
    <w:multiLevelType w:val="singleLevel"/>
    <w:tmpl w:val="CF16BCDC"/>
    <w:lvl w:ilvl="0" w:tentative="0">
      <w:start w:val="1"/>
      <w:numFmt w:val="decimal"/>
      <w:suff w:val="nothing"/>
      <w:lvlText w:val="（%1）"/>
      <w:lvlJc w:val="left"/>
    </w:lvl>
  </w:abstractNum>
  <w:abstractNum w:abstractNumId="2">
    <w:nsid w:val="D4476B6B"/>
    <w:multiLevelType w:val="singleLevel"/>
    <w:tmpl w:val="D4476B6B"/>
    <w:lvl w:ilvl="0" w:tentative="0">
      <w:start w:val="1"/>
      <w:numFmt w:val="upp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C70EA"/>
    <w:rsid w:val="311C7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380" w:lineRule="exact"/>
    </w:pPr>
    <w:rPr>
      <w:sz w:val="24"/>
      <w:szCs w:val="24"/>
    </w:rPr>
  </w:style>
  <w:style w:type="character" w:styleId="5">
    <w:name w:val="annotation reference"/>
    <w:unhideWhenUsed/>
    <w:qFormat/>
    <w:uiPriority w:val="99"/>
    <w:rPr>
      <w:sz w:val="21"/>
      <w:szCs w:val="21"/>
    </w:rPr>
  </w:style>
  <w:style w:type="character" w:customStyle="1" w:styleId="6">
    <w:name w:val="font31"/>
    <w:qFormat/>
    <w:uiPriority w:val="0"/>
    <w:rPr>
      <w:rFonts w:hint="default" w:ascii="Arial" w:hAnsi="Arial" w:cs="Arial"/>
      <w:color w:val="333333"/>
      <w:sz w:val="19"/>
      <w:szCs w:val="19"/>
      <w:u w:val="none"/>
    </w:rPr>
  </w:style>
  <w:style w:type="character" w:customStyle="1" w:styleId="7">
    <w:name w:val="font11"/>
    <w:qFormat/>
    <w:uiPriority w:val="0"/>
    <w:rPr>
      <w:rFonts w:hint="eastAsia" w:ascii="宋体" w:hAnsi="宋体" w:eastAsia="宋体" w:cs="宋体"/>
      <w:color w:val="333333"/>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2024-12-11T08:25:00Z</dcterms:created>
  <dc:creator>曾经的张嘎</dc:creator>
  <cp:lastModifiedBy>曾经的张嘎</cp:lastModifiedBy>
  <dcterms:modified xsi:type="dcterms:W3CDTF">2024-12-11T08:26:15Z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A090F93BE6814BA3B2EFC4AEEC2AB260_11</vt:lpwstr>
  </property>
</Properties>
</file>