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A949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附件：合作方招募评分规则</w:t>
      </w:r>
    </w:p>
    <w:bookmarkEnd w:id="0"/>
    <w:p w14:paraId="0B185F19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本次招募采用综合评分法，根据以下标准和方法对通过资格审查的意向合作方进行评议。广网融科公司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经营评审</w:t>
      </w:r>
      <w:r>
        <w:rPr>
          <w:rFonts w:hint="eastAsia" w:ascii="仿宋_GB2312" w:hAnsi="仿宋" w:eastAsia="仿宋_GB2312"/>
          <w:kern w:val="0"/>
          <w:sz w:val="32"/>
          <w:szCs w:val="32"/>
        </w:rPr>
        <w:t>小组将对意向合作方从企业综合实力部分、分成比例、内容部分、运营支撑部分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kern w:val="0"/>
          <w:sz w:val="32"/>
          <w:szCs w:val="32"/>
        </w:rPr>
        <w:t>个部分别进行打分，计算出各意向合作方的综合得分。按综合得分从高到低的顺序进行排名，综合得分第一名的，将被确定为福建高清互动云电视“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K歌</w:t>
      </w:r>
      <w:r>
        <w:rPr>
          <w:rFonts w:hint="eastAsia" w:ascii="仿宋_GB2312" w:hAnsi="仿宋" w:eastAsia="仿宋_GB2312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/>
          <w:kern w:val="0"/>
          <w:sz w:val="32"/>
          <w:szCs w:val="32"/>
        </w:rPr>
        <w:t>合作方。</w:t>
      </w:r>
    </w:p>
    <w:p w14:paraId="31462027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若有相同的综合得分，则其中分成比例得分高的排序在前；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若分成比例得分相同，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则企业综合实力得分高的排序在前；若前述情况仍是相同，则内容部分得分高的排序在前；若前述情况仍是相同，则运营支撑部分得分高的排序在前；若前述情况仍是相同，则由广网融科公司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经营评审</w:t>
      </w:r>
      <w:r>
        <w:rPr>
          <w:rFonts w:hint="eastAsia" w:ascii="仿宋_GB2312" w:hAnsi="仿宋" w:eastAsia="仿宋_GB2312"/>
          <w:kern w:val="0"/>
          <w:sz w:val="32"/>
          <w:szCs w:val="32"/>
        </w:rPr>
        <w:t>小组记名投票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确认合作方排序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 w14:paraId="02CC2A8C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各部分评分分值分布如下：</w:t>
      </w:r>
    </w:p>
    <w:p w14:paraId="14D5249B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A：企业综合实力评分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 w14:paraId="4D86E94B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B：分成比例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分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满分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kern w:val="0"/>
          <w:sz w:val="32"/>
          <w:szCs w:val="32"/>
        </w:rPr>
        <w:t>分</w:t>
      </w:r>
    </w:p>
    <w:p w14:paraId="3569901B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C：内容部分评分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满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分</w:t>
      </w:r>
    </w:p>
    <w:p w14:paraId="771DB7C1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D：运营支撑部分评分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</w:rPr>
        <w:t>分</w:t>
      </w:r>
    </w:p>
    <w:p w14:paraId="1748AAFA">
      <w:pPr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综合得分：P＝A+B+C+D</w:t>
      </w:r>
    </w:p>
    <w:tbl>
      <w:tblPr>
        <w:tblStyle w:val="3"/>
        <w:tblW w:w="49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68"/>
        <w:gridCol w:w="6463"/>
      </w:tblGrid>
      <w:tr w14:paraId="508D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0" w:type="pct"/>
            <w:shd w:val="clear" w:color="auto" w:fill="F2F2F2"/>
            <w:noWrap w:val="0"/>
            <w:vAlign w:val="center"/>
          </w:tcPr>
          <w:p w14:paraId="53E0FC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评分部分</w:t>
            </w:r>
          </w:p>
        </w:tc>
        <w:tc>
          <w:tcPr>
            <w:tcW w:w="4369" w:type="pct"/>
            <w:gridSpan w:val="2"/>
            <w:shd w:val="clear" w:color="auto" w:fill="F2F2F2"/>
            <w:noWrap w:val="0"/>
            <w:vAlign w:val="center"/>
          </w:tcPr>
          <w:p w14:paraId="40BE4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评分细则</w:t>
            </w:r>
          </w:p>
        </w:tc>
      </w:tr>
      <w:tr w14:paraId="3507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pct"/>
            <w:vMerge w:val="restart"/>
            <w:noWrap w:val="0"/>
            <w:vAlign w:val="center"/>
          </w:tcPr>
          <w:p w14:paraId="2B55A73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企业综合实力（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63" w:type="pct"/>
            <w:noWrap w:val="0"/>
            <w:vAlign w:val="center"/>
          </w:tcPr>
          <w:p w14:paraId="31AD2F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A1:公司</w:t>
            </w:r>
          </w:p>
          <w:p w14:paraId="557782A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实力</w:t>
            </w:r>
          </w:p>
          <w:p w14:paraId="7FA10F7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分)</w:t>
            </w:r>
          </w:p>
        </w:tc>
        <w:tc>
          <w:tcPr>
            <w:tcW w:w="3606" w:type="pct"/>
            <w:noWrap w:val="0"/>
            <w:vAlign w:val="center"/>
          </w:tcPr>
          <w:p w14:paraId="1DC0B28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根据合作方提供的202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年任意一年的经营收入进行评分。收入达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万元的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分；每增加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万元，多得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分；未达到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万元的，本项不得分。本项满分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</w:t>
            </w:r>
          </w:p>
          <w:p w14:paraId="2BA6CE01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（合作方需提供年度审计报告，并加盖单位公章，如无法提供请提供说明函，并附上第三方审计机构财务数据证明材料。）</w:t>
            </w:r>
          </w:p>
          <w:p w14:paraId="4D7D487F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注：合作方如果不提供审计报告结论页、提供的审计报告出现亏损或审计报告出具的是保留意见、无法表示意见、否定意见的审计结论，该项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不得分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</w:tc>
      </w:tr>
      <w:tr w14:paraId="725D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30" w:type="pct"/>
            <w:vMerge w:val="continue"/>
            <w:noWrap w:val="0"/>
            <w:vAlign w:val="center"/>
          </w:tcPr>
          <w:p w14:paraId="2D0169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54ADE9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:省级平台运营合作</w:t>
            </w:r>
          </w:p>
          <w:p w14:paraId="0C97F8C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(1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分)</w:t>
            </w:r>
          </w:p>
        </w:tc>
        <w:tc>
          <w:tcPr>
            <w:tcW w:w="3606" w:type="pct"/>
            <w:noWrap w:val="0"/>
            <w:vAlign w:val="center"/>
          </w:tcPr>
          <w:p w14:paraId="23CE350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合作方具有至少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IPTV\DVB\OTT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 xml:space="preserve"> 音乐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专区运营合作案例，得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分，具有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家及以上的，得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分。本项满分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</w:t>
            </w:r>
          </w:p>
          <w:p w14:paraId="7DBB0EE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注：合作方需提供相关合同关键页（至少包含合同首页、运营支撑内容详情页、签字盖章页）复印件并加盖单位公章，否则该项不得分。</w:t>
            </w:r>
          </w:p>
        </w:tc>
      </w:tr>
      <w:tr w14:paraId="085F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</w:trPr>
        <w:tc>
          <w:tcPr>
            <w:tcW w:w="630" w:type="pct"/>
            <w:noWrap w:val="0"/>
            <w:vAlign w:val="center"/>
          </w:tcPr>
          <w:p w14:paraId="591E1483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分成比例</w:t>
            </w:r>
          </w:p>
          <w:p w14:paraId="6FC946C2"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63" w:type="pct"/>
            <w:noWrap w:val="0"/>
            <w:vAlign w:val="center"/>
          </w:tcPr>
          <w:p w14:paraId="2CECD8B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B1：分成比例</w:t>
            </w:r>
          </w:p>
          <w:p w14:paraId="5D26012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0CBDB9B8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具体评分方法如下：</w:t>
            </w:r>
          </w:p>
          <w:p w14:paraId="453B09F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分成占比基准值的确定：</w:t>
            </w:r>
          </w:p>
          <w:p w14:paraId="483CA84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①当合格合作方数量＜5时，分成占比基准值＝所有合格合作方承诺的分成占比算数平均值；</w:t>
            </w:r>
          </w:p>
          <w:p w14:paraId="3CE95E3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②当5≤合格合作方＜7时，去掉一个最高合格合作方承诺的分成占比、去掉一个最低合格合作方承诺的分成占比，分成占比基准值＝余下合格合作方承诺的分成占比算数平均值；</w:t>
            </w:r>
          </w:p>
          <w:p w14:paraId="150A1E7B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分成比例得分的计算：</w:t>
            </w:r>
          </w:p>
          <w:p w14:paraId="61B8202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①当合作方承诺的分成占比＝分成占比基准值时，分成比例得分等于25分；</w:t>
            </w:r>
          </w:p>
          <w:p w14:paraId="0D42A13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②当合作方承诺的分成占比＞分成占比基准值时，分成比例得分＝25-（合作方分成占比-分成占比基准值）×60×2；</w:t>
            </w:r>
          </w:p>
          <w:p w14:paraId="7B114E5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③当合作方承诺的分成占比＜分成占比基准值时，分成比例得分＝25-（分成占比基准值-合作方分成占比）×60×0.5。</w:t>
            </w:r>
          </w:p>
          <w:p w14:paraId="0162D72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注：合作方需提供相关分成比例的合作服务承诺函，并加盖单位公章,否则本项不得分。</w:t>
            </w:r>
          </w:p>
        </w:tc>
      </w:tr>
      <w:tr w14:paraId="062A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630" w:type="pct"/>
            <w:vMerge w:val="restart"/>
            <w:noWrap w:val="0"/>
            <w:vAlign w:val="center"/>
          </w:tcPr>
          <w:p w14:paraId="242B30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 xml:space="preserve">C.内容部分 </w:t>
            </w:r>
          </w:p>
          <w:p w14:paraId="7A19FBF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763" w:type="pct"/>
            <w:noWrap w:val="0"/>
            <w:vAlign w:val="center"/>
          </w:tcPr>
          <w:p w14:paraId="3550DC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C1:底量节目数量</w:t>
            </w:r>
          </w:p>
          <w:p w14:paraId="53DAF98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779F212F">
            <w:pPr>
              <w:pStyle w:val="2"/>
              <w:spacing w:line="240" w:lineRule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根据各合作方拥有底量节目的数量进行评分。合作方承诺提供的节目量不少于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小时（其中合作方承诺的底量节目中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MV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节目须达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00小时或以上；版权起始时间大于等于一年及以上的节目须达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00小时或以上，版权授权开始时间可早于招募时间）的，得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分。否则该项不得分。</w:t>
            </w:r>
          </w:p>
          <w:p w14:paraId="54BB841D">
            <w:pPr>
              <w:pStyle w:val="2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注：合作方需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针对以上底量节目的合作服务承诺函，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加盖单位公章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提供电子版底量节目单（表格格式见本招募文件附表《节目详单》）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备查。</w:t>
            </w:r>
          </w:p>
        </w:tc>
      </w:tr>
      <w:tr w14:paraId="63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30" w:type="pct"/>
            <w:vMerge w:val="continue"/>
            <w:noWrap w:val="0"/>
            <w:vAlign w:val="center"/>
          </w:tcPr>
          <w:p w14:paraId="133800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110767A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C2:节目更新量</w:t>
            </w:r>
          </w:p>
          <w:p w14:paraId="15BDAD7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6F137A97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合作方承诺月均更新节目量不少于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30个小时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分，否则该项不得分。本项满分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</w:t>
            </w:r>
          </w:p>
          <w:p w14:paraId="779CE354">
            <w:pPr>
              <w:pStyle w:val="2"/>
              <w:spacing w:line="240" w:lineRule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注：合作方需提供合作服务承诺函，并加盖单位公章。</w:t>
            </w:r>
          </w:p>
        </w:tc>
      </w:tr>
      <w:tr w14:paraId="0B64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pct"/>
            <w:vMerge w:val="continue"/>
            <w:noWrap w:val="0"/>
            <w:vAlign w:val="center"/>
          </w:tcPr>
          <w:p w14:paraId="156724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63A7BB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C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:节目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品牌质量</w:t>
            </w:r>
          </w:p>
          <w:p w14:paraId="0824868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5A23F2B3">
            <w:pPr>
              <w:widowControl/>
              <w:spacing w:line="276" w:lineRule="auto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合作方内容具有品牌独家、唯一合作内容不少于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小时的，得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分。本项满分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  <w:p w14:paraId="7BCA09A6">
            <w:pPr>
              <w:pStyle w:val="2"/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注：合作方需提供针对以上底量节目的合作服务承诺函，并加盖单位公章；合作提供电子版底量节目单（表格格式见本招募文件附表《节目详单》）备查。</w:t>
            </w:r>
          </w:p>
        </w:tc>
      </w:tr>
      <w:tr w14:paraId="03FB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30" w:type="pct"/>
            <w:vMerge w:val="restart"/>
            <w:noWrap w:val="0"/>
            <w:vAlign w:val="center"/>
          </w:tcPr>
          <w:p w14:paraId="62E103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.运营支撑</w:t>
            </w:r>
          </w:p>
          <w:p w14:paraId="48C49E23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763" w:type="pct"/>
            <w:noWrap w:val="0"/>
            <w:vAlign w:val="center"/>
          </w:tcPr>
          <w:p w14:paraId="09755CB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:运营</w:t>
            </w:r>
          </w:p>
          <w:p w14:paraId="7139251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合作</w:t>
            </w:r>
          </w:p>
          <w:p w14:paraId="4AE1E2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73A2D82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合作方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cs="宋体"/>
                <w:szCs w:val="21"/>
              </w:rPr>
              <w:t>打造线上线下互动型产品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能为互动平台定制化开发</w:t>
            </w:r>
            <w:r>
              <w:rPr>
                <w:rFonts w:ascii="宋体" w:hAnsi="宋体" w:cs="宋体"/>
                <w:szCs w:val="21"/>
              </w:rPr>
              <w:t xml:space="preserve">K </w:t>
            </w:r>
            <w:r>
              <w:rPr>
                <w:rFonts w:hint="eastAsia" w:ascii="宋体" w:hAnsi="宋体" w:cs="宋体"/>
                <w:szCs w:val="21"/>
              </w:rPr>
              <w:t>歌、打分、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点歌、</w:t>
            </w:r>
            <w:r>
              <w:rPr>
                <w:rFonts w:hint="eastAsia" w:ascii="宋体" w:hAnsi="宋体" w:cs="宋体"/>
                <w:szCs w:val="21"/>
              </w:rPr>
              <w:t>录歌功能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的，</w:t>
            </w:r>
            <w:r>
              <w:rPr>
                <w:rFonts w:hint="eastAsia" w:ascii="宋体" w:hAnsi="宋体" w:cs="宋体"/>
                <w:szCs w:val="21"/>
              </w:rPr>
              <w:t>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分；拥有独家麦克风设备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且兼容其他互联网音乐产品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的，多得2分。本项满分10分。</w:t>
            </w:r>
          </w:p>
          <w:p w14:paraId="42904BE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注：合作方需提供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合作服务承诺函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，并加盖单位公章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否则该项不得分。</w:t>
            </w:r>
          </w:p>
        </w:tc>
      </w:tr>
      <w:tr w14:paraId="07B9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30" w:type="pct"/>
            <w:vMerge w:val="continue"/>
            <w:noWrap w:val="0"/>
            <w:vAlign w:val="center"/>
          </w:tcPr>
          <w:p w14:paraId="1B94C993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63" w:type="pct"/>
            <w:noWrap w:val="0"/>
            <w:vAlign w:val="center"/>
          </w:tcPr>
          <w:p w14:paraId="264FBE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D2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:宣传</w:t>
            </w:r>
          </w:p>
          <w:p w14:paraId="418555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策划</w:t>
            </w:r>
          </w:p>
          <w:p w14:paraId="3DBBFB5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570872C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合作方每周提供不少于3张推荐类海报素材；每月提供不少于1个专题及线上活动策划的，得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分。本项满分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</w:t>
            </w:r>
          </w:p>
          <w:p w14:paraId="64D72B3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注：合作方需提供针对以上海报、专题及活动策划的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合作服务承诺函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，并加盖单位公章，否则本项不得分。</w:t>
            </w:r>
          </w:p>
        </w:tc>
      </w:tr>
      <w:tr w14:paraId="1FED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0" w:type="pct"/>
            <w:vMerge w:val="continue"/>
            <w:noWrap w:val="0"/>
            <w:vAlign w:val="center"/>
          </w:tcPr>
          <w:p w14:paraId="0D10FDCC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1A02B4D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D3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:营销</w:t>
            </w:r>
          </w:p>
          <w:p w14:paraId="2AD569F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策划</w:t>
            </w:r>
          </w:p>
          <w:p w14:paraId="39D88B8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6C67D4F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5"/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合作方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针对合作产品可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提供覆盖重要节点的全年营销计划表</w:t>
            </w:r>
            <w:r>
              <w:rPr>
                <w:rStyle w:val="5"/>
                <w:rFonts w:hint="eastAsia" w:ascii="宋体" w:hAnsi="宋体" w:cs="宋体"/>
                <w:highlight w:val="none"/>
              </w:rPr>
              <w:t>的，得</w:t>
            </w:r>
            <w:r>
              <w:rPr>
                <w:rStyle w:val="5"/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Style w:val="5"/>
                <w:rFonts w:hint="eastAsia" w:ascii="宋体" w:hAnsi="宋体" w:cs="宋体"/>
                <w:highlight w:val="none"/>
              </w:rPr>
              <w:t>分</w:t>
            </w:r>
            <w:r>
              <w:rPr>
                <w:rStyle w:val="5"/>
                <w:rFonts w:hint="eastAsia" w:ascii="宋体" w:hAnsi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可提供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  <w:r>
              <w:rPr>
                <w:rFonts w:ascii="宋体" w:hAnsi="宋体" w:cs="宋体"/>
                <w:szCs w:val="21"/>
                <w:highlight w:val="none"/>
              </w:rPr>
              <w:t>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szCs w:val="21"/>
                <w:highlight w:val="none"/>
              </w:rPr>
              <w:t>-202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任意一年与本省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地市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营销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合作协议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2份以上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多得2分。</w:t>
            </w:r>
            <w:r>
              <w:rPr>
                <w:rStyle w:val="5"/>
                <w:rFonts w:hint="eastAsia" w:ascii="宋体" w:hAnsi="宋体" w:cs="宋体"/>
                <w:highlight w:val="none"/>
              </w:rPr>
              <w:t>本项满分</w:t>
            </w:r>
            <w:r>
              <w:rPr>
                <w:rStyle w:val="5"/>
                <w:rFonts w:hint="eastAsia" w:ascii="宋体" w:hAnsi="宋体" w:cs="宋体"/>
                <w:highlight w:val="none"/>
                <w:lang w:val="en-US" w:eastAsia="zh-CN"/>
              </w:rPr>
              <w:t>4</w:t>
            </w:r>
            <w:r>
              <w:rPr>
                <w:rStyle w:val="5"/>
                <w:rFonts w:hint="eastAsia" w:ascii="宋体" w:hAnsi="宋体" w:cs="宋体"/>
                <w:highlight w:val="none"/>
              </w:rPr>
              <w:t>分。</w:t>
            </w:r>
          </w:p>
          <w:p w14:paraId="1D0447E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注：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合作方需提供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全年营销计划表及按全年营销计划表执行的合作服务承诺函，并加盖单位公章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地市合同关键页（至少包含合同首页、运营支撑内容详情页、签字盖章页）复印件并加盖单位公章，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否则本项不得分。</w:t>
            </w:r>
          </w:p>
        </w:tc>
      </w:tr>
      <w:tr w14:paraId="3C64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30" w:type="pct"/>
            <w:vMerge w:val="continue"/>
            <w:noWrap w:val="0"/>
            <w:vAlign w:val="center"/>
          </w:tcPr>
          <w:p w14:paraId="4D16ECA6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5C01AC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D4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故障</w:t>
            </w:r>
          </w:p>
          <w:p w14:paraId="5CC75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处理</w:t>
            </w:r>
          </w:p>
          <w:p w14:paraId="41C3DBE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1BAF5F28">
            <w:pPr>
              <w:widowControl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根据合作方运维支持情况进行评分。相关运维人员需具备及时故障处理能力，且提供7*24小时技术支撑服务的，得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分，否则本项不得分。</w:t>
            </w:r>
          </w:p>
          <w:p w14:paraId="1C87448F">
            <w:pPr>
              <w:widowControl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注：合作方需提供运维人员名单及运维支撑的合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作服务承诺函，并加盖单位公章，否则本项不得分。</w:t>
            </w:r>
          </w:p>
        </w:tc>
      </w:tr>
      <w:tr w14:paraId="349B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30" w:type="pct"/>
            <w:vMerge w:val="continue"/>
            <w:noWrap w:val="0"/>
            <w:vAlign w:val="center"/>
          </w:tcPr>
          <w:p w14:paraId="00C1EE2D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3" w:type="pct"/>
            <w:noWrap w:val="0"/>
            <w:vAlign w:val="center"/>
          </w:tcPr>
          <w:p w14:paraId="42C790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:审核</w:t>
            </w:r>
          </w:p>
          <w:p w14:paraId="7A3666B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经验</w:t>
            </w:r>
          </w:p>
          <w:p w14:paraId="793783B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3606" w:type="pct"/>
            <w:noWrap w:val="0"/>
            <w:vAlign w:val="center"/>
          </w:tcPr>
          <w:p w14:paraId="53BD5E5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t>合作方应具备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年及以上省级IPTV/DVB平台合作及审核经验，具有固定的审核团队的得1分，否则不得分。审核团队成员中具备《网络视听节目审核员证》《内容审核人员证书》在2位以上</w:t>
            </w:r>
            <w:r>
              <w:rPr>
                <w:rFonts w:hint="eastAsia"/>
                <w:lang w:val="en-US" w:eastAsia="zh-CN"/>
              </w:rPr>
              <w:t>的，多</w:t>
            </w:r>
            <w:r>
              <w:t>得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</w:t>
            </w:r>
            <w:r>
              <w:rPr>
                <w:rFonts w:hint="eastAsia"/>
                <w:lang w:eastAsia="zh-CN"/>
              </w:rPr>
              <w:t>。</w:t>
            </w:r>
            <w:r>
              <w:t>本项满分</w:t>
            </w:r>
            <w:r>
              <w:rPr>
                <w:rFonts w:hint="eastAsia"/>
                <w:lang w:val="en-US" w:eastAsia="zh-CN"/>
              </w:rPr>
              <w:t>2</w:t>
            </w:r>
            <w:r>
              <w:t>分。</w:t>
            </w:r>
            <w:r>
              <w:br w:type="textWrapping"/>
            </w:r>
            <w:r>
              <w:rPr>
                <w:b/>
                <w:bCs/>
              </w:rPr>
              <w:t>注：合作方需提供以上审核团队及成员名单，及团队成员《网络视听节目审核员证》和《内容审核人员证书》，并加盖单位公章</w:t>
            </w:r>
            <w:r>
              <w:t>。</w:t>
            </w:r>
          </w:p>
        </w:tc>
      </w:tr>
      <w:tr w14:paraId="3F0B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30" w:type="pct"/>
            <w:vMerge w:val="continue"/>
            <w:noWrap w:val="0"/>
            <w:vAlign w:val="center"/>
          </w:tcPr>
          <w:p w14:paraId="6143FFC1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pct"/>
            <w:noWrap w:val="0"/>
            <w:vAlign w:val="center"/>
          </w:tcPr>
          <w:p w14:paraId="0424476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D6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:驻地</w:t>
            </w:r>
          </w:p>
          <w:p w14:paraId="169CD9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</w:t>
            </w:r>
          </w:p>
          <w:p w14:paraId="048B490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分)</w:t>
            </w:r>
          </w:p>
        </w:tc>
        <w:tc>
          <w:tcPr>
            <w:tcW w:w="3606" w:type="pct"/>
            <w:noWrap w:val="0"/>
            <w:vAlign w:val="center"/>
          </w:tcPr>
          <w:p w14:paraId="3255AF92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合作方拟派的本地支撑团队成员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不少于2名的，</w:t>
            </w:r>
            <w:r>
              <w:rPr>
                <w:rFonts w:hint="eastAsia" w:ascii="宋体" w:hAnsi="宋体" w:cs="宋体"/>
                <w:szCs w:val="21"/>
              </w:rPr>
              <w:t>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分，否则不得分。本项满分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  <w:p w14:paraId="2EBFB45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注：合作方需提供拟派人员所属公司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至招募公示截止日期前三个月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的社保缴交证明及合作服务承诺函，并加盖单位公章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否则该项不得分。</w:t>
            </w:r>
          </w:p>
        </w:tc>
      </w:tr>
    </w:tbl>
    <w:p w14:paraId="3F906C8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720" w:num="1"/>
          <w:docGrid w:type="lines" w:linePitch="312" w:charSpace="0"/>
        </w:sectPr>
      </w:pPr>
    </w:p>
    <w:p w14:paraId="6FE33340"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309C7"/>
    <w:multiLevelType w:val="singleLevel"/>
    <w:tmpl w:val="802309C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476B6B"/>
    <w:multiLevelType w:val="singleLevel"/>
    <w:tmpl w:val="D4476B6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09FB437D"/>
    <w:rsid w:val="09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  <w:style w:type="character" w:styleId="5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2024-11-05T08:33:00Z</dcterms:created>
  <dc:creator>曾经的张嘎</dc:creator>
  <cp:lastModifiedBy>曾经的张嘎</cp:lastModifiedBy>
  <dcterms:modified xsi:type="dcterms:W3CDTF">2024-11-05T08:34:45Z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190D776725464E46AC9505B005C65FBD_11</vt:lpwstr>
  </property>
</Properties>
</file>