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rFonts w:hint="default" w:ascii="宋体" w:hAnsi="宋体" w:eastAsiaTheme="minorEastAsia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  <w:highlight w:val="none"/>
        </w:rPr>
        <w:t>附件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：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合同主要条款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一、分成及考核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福桔少儿项目合作期两年，首年收入目标为400万元。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考核采用一年一考核，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考核周期为合同生效之日起一年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  <w:t>年度梯度分成考核如下：</w:t>
      </w:r>
    </w:p>
    <w:tbl>
      <w:tblPr>
        <w:tblStyle w:val="3"/>
        <w:tblW w:w="9050" w:type="dxa"/>
        <w:tblInd w:w="2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06"/>
        <w:gridCol w:w="62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序号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考核条款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分成条款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</w:rPr>
              <w:t>1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</w:rPr>
              <w:t>年度实际收入≧年度目标收入的1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</w:rPr>
              <w:t>0%</w:t>
            </w:r>
          </w:p>
        </w:tc>
        <w:tc>
          <w:tcPr>
            <w:tcW w:w="62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ind w:left="0" w:firstLine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运营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方按约定比例分成，即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%（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0%（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运营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方）。</w:t>
            </w:r>
          </w:p>
          <w:p>
            <w:pPr>
              <w:numPr>
                <w:ilvl w:val="-1"/>
                <w:numId w:val="0"/>
              </w:numPr>
              <w:spacing w:line="276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以各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实际结算收入为基数，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向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运营费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eastAsia="zh-CN"/>
              </w:rPr>
              <w:t>2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</w:rPr>
              <w:t>80%≦年度实际收入&lt;100%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运营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方按约定比例分成，即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%（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0%（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运营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方）。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以各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实际结算收入为基数，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向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支付10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运营费。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eastAsia="zh-CN"/>
              </w:rPr>
              <w:t>3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</w:rPr>
              <w:t>60%≤年度实际收入&lt;80%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ind w:lef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</w:rPr>
              <w:t>调低当年分成比例为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lang w:val="en-US" w:eastAsia="zh-CN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</w:rPr>
              <w:t>%（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</w:rPr>
              <w:t>）：35%（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</w:rPr>
              <w:t>）：1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</w:rPr>
              <w:t>%（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lang w:eastAsia="zh-CN"/>
              </w:rPr>
              <w:t>运营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  <w:lang w:val="en-US"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</w:rPr>
              <w:t>方）。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ind w:lef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以各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实际结算收入为基数，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向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支付5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运营费。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4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</w:rPr>
              <w:t>20%≤年度实际收入&lt;60%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numPr>
                <w:ilvl w:val="-1"/>
                <w:numId w:val="0"/>
              </w:num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调低当年分成比例为60%（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）：30%（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lang w:eastAsia="zh-CN"/>
              </w:rPr>
              <w:t>运营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  <w:lang w:val="en-US"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</w:rPr>
              <w:t>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5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</w:rPr>
              <w:t>年度实际收入&lt;20%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numPr>
                <w:ilvl w:val="-1"/>
                <w:numId w:val="0"/>
              </w:numPr>
              <w:spacing w:line="276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调低当年分成比例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（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）：20%（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方）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运营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方不参与分成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</w:tr>
    </w:tbl>
    <w:p>
      <w:pPr>
        <w:pStyle w:val="2"/>
        <w:spacing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2、广电渠道合作。分成比例为</w:t>
      </w:r>
      <w:r>
        <w:rPr>
          <w:rFonts w:hint="eastAsia" w:ascii="仿宋_GB2312" w:hAnsi="仿宋" w:eastAsia="仿宋_GB2312" w:cstheme="minorBidi"/>
          <w:kern w:val="0"/>
          <w:sz w:val="32"/>
          <w:szCs w:val="32"/>
          <w:highlight w:val="none"/>
          <w:u w:val="none"/>
          <w:lang w:eastAsia="zh-CN" w:bidi="ar"/>
        </w:rPr>
        <w:t>5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0%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（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招募方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）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：40%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（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线下渠道推广方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）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：</w:t>
      </w:r>
      <w:r>
        <w:rPr>
          <w:rFonts w:hint="eastAsia" w:ascii="仿宋_GB2312" w:hAnsi="仿宋" w:eastAsia="仿宋_GB2312" w:cstheme="minorBidi"/>
          <w:kern w:val="0"/>
          <w:sz w:val="32"/>
          <w:szCs w:val="32"/>
          <w:highlight w:val="none"/>
          <w:u w:val="none"/>
          <w:lang w:eastAsia="zh-CN" w:bidi="ar"/>
        </w:rPr>
        <w:t>1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0%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（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节目合作方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），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线下渠道推广套餐由广网融科公司统一审核开通，由推广方报备。</w:t>
      </w:r>
    </w:p>
    <w:p>
      <w:pPr>
        <w:pStyle w:val="2"/>
        <w:spacing w:after="0"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3、考核及退出。广网融科公司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按月度及年度对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节目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合作方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及运营支撑方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进行考核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考核项目以广网融科公司实际下发考核表为准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。</w:t>
      </w:r>
    </w:p>
    <w:p>
      <w:pPr>
        <w:pStyle w:val="2"/>
        <w:numPr>
          <w:ilvl w:val="-1"/>
          <w:numId w:val="0"/>
        </w:numPr>
        <w:spacing w:after="0"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（1）节目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合作方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及运营支撑方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连续3个月月度考核得分低于达标分（60分），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广网融科公司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有权终止合作协议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单方解除协议。</w:t>
      </w:r>
    </w:p>
    <w:p>
      <w:pPr>
        <w:pStyle w:val="2"/>
        <w:numPr>
          <w:ilvl w:val="-1"/>
          <w:numId w:val="0"/>
        </w:numPr>
        <w:spacing w:after="0"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（2）节目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合作方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及运营支撑方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年度考核得分（取月度平均值）低于达标分（60分），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广网融科公司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有权终止合作协议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单方解除协议。</w:t>
      </w:r>
    </w:p>
    <w:p>
      <w:pPr>
        <w:pStyle w:val="2"/>
        <w:numPr>
          <w:ilvl w:val="0"/>
          <w:numId w:val="0"/>
        </w:numPr>
        <w:spacing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（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）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节目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合作方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连续3个月累计结算收入低于1万元，广网融科公司有权终止合作协议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单方解除协议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line="580" w:lineRule="exact"/>
        <w:ind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u w:val="none"/>
          <w:shd w:val="clear"/>
          <w:lang w:val="en-US" w:eastAsia="zh-CN"/>
        </w:rPr>
        <w:t>二、结算方式</w:t>
      </w:r>
    </w:p>
    <w:p>
      <w:pPr>
        <w:pStyle w:val="2"/>
        <w:numPr>
          <w:ilvl w:val="0"/>
          <w:numId w:val="0"/>
        </w:numPr>
        <w:spacing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广网融科公司与节目合作方、运营支撑方按月度对账、季度结算。广网融科公司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根据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福桔少儿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实际销账收入，确定该季度结算金额总额；</w:t>
      </w:r>
    </w:p>
    <w:p>
      <w:pPr>
        <w:pStyle w:val="2"/>
        <w:numPr>
          <w:ilvl w:val="0"/>
          <w:numId w:val="4"/>
        </w:numPr>
        <w:spacing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节目合作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方分成结算金额比例。针对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节目合作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方提供内容的“触发订购”“点播时长”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“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点播量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”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三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个维度进行权重评分（以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广网融科公司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出具的数据为准），确认各家分成结算金额比例；</w:t>
      </w:r>
    </w:p>
    <w:p>
      <w:pPr>
        <w:pStyle w:val="2"/>
        <w:numPr>
          <w:ilvl w:val="0"/>
          <w:numId w:val="4"/>
        </w:numPr>
        <w:spacing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节目合作方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、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运营支撑方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实际结算金额。根据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节目合作方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、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运营支撑方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在该季度月均考核得分，确定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节目合作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及运营支撑方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实际结算金额。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A8CB0"/>
    <w:multiLevelType w:val="singleLevel"/>
    <w:tmpl w:val="8A4A8CB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52FA0D2"/>
    <w:multiLevelType w:val="singleLevel"/>
    <w:tmpl w:val="F52FA0D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34FCDE3"/>
    <w:multiLevelType w:val="singleLevel"/>
    <w:tmpl w:val="234FCD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C2BEAC2"/>
    <w:multiLevelType w:val="singleLevel"/>
    <w:tmpl w:val="3C2BEAC2"/>
    <w:lvl w:ilvl="0" w:tentative="0">
      <w:start w:val="1"/>
      <w:numFmt w:val="decimal"/>
      <w:suff w:val="space"/>
      <w:lvlText w:val="%1."/>
      <w:legacy w:legacy="1" w:legacySpace="0" w:legacyIndent="0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mY0MDU5YmYzMzQ4NjAyY2IzZTkwMmMyMjk0NGEifQ=="/>
  </w:docVars>
  <w:rsids>
    <w:rsidRoot w:val="7DF9042C"/>
    <w:rsid w:val="7DF9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80" w:lineRule="exac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1035</Characters>
  <Lines>0</Lines>
  <Paragraphs>0</Paragraphs>
  <TotalTime>0</TotalTime>
  <ScaleCrop>false</ScaleCrop>
  <LinksUpToDate>false</LinksUpToDate>
  <CharactersWithSpaces>1036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2023-07-10T08:08:00Z</dcterms:created>
  <dc:creator>曾经的张嘎</dc:creator>
  <cp:lastModifiedBy>曾经的张嘎</cp:lastModifiedBy>
  <dcterms:modified xsi:type="dcterms:W3CDTF">2023-07-10T08:08:37Z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36DF95264DE04F97A9CB78EEB52AFA82_11</vt:lpwstr>
  </property>
</Properties>
</file>