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7"/>
        <w:keepNext w:val="0"/>
        <w:keepLines w:val="0"/>
        <w:widowControl/>
        <w:suppressLineNumbers w:val="0"/>
        <w:spacing w:before="0" w:beforeAutospacing="0" w:after="0" w:afterAutospacing="0" w:line="23" w:lineRule="atLeast"/>
        <w:ind w:left="-362" w:right="-362"/>
        <w:jc w:val="center"/>
        <w:rPr>
          <w:rStyle w:val="21"/>
          <w:rFonts w:hint="default" w:ascii="宋体" w:hAnsi="宋体" w:eastAsia="宋体" w:cs="宋体"/>
          <w:b/>
          <w:bCs/>
          <w:color w:val="393939"/>
          <w:sz w:val="32"/>
          <w:szCs w:val="24"/>
          <w:u w:val="single" w:color="auto"/>
          <w:shd w:val="clear" w:color="auto" w:fill="FFFFFF"/>
          <w:lang w:val="en-US" w:eastAsia="zh-CN"/>
        </w:rPr>
      </w:pPr>
      <w:r>
        <w:rPr>
          <w:rFonts w:ascii="宋体" w:hAnsi="宋体" w:eastAsia="宋体" w:cs="宋体"/>
          <w:bCs/>
          <w:kern w:val="0"/>
          <w:sz w:val="36"/>
          <w:szCs w:val="24"/>
        </w:rPr>
        <w:t>项目名称：</w:t>
      </w:r>
      <w:r>
        <w:rPr>
          <w:rFonts w:hint="eastAsia"/>
          <w:b/>
          <w:bCs/>
          <w:sz w:val="32"/>
          <w:szCs w:val="24"/>
          <w:u w:val="single" w:color="auto"/>
          <w:lang w:eastAsia="zh-CN"/>
        </w:rPr>
        <w:t>沙县融媒体中心智能门卫系统项目</w:t>
      </w:r>
    </w:p>
    <w:p>
      <w:pPr>
        <w:pStyle w:val="17"/>
        <w:keepNext w:val="0"/>
        <w:keepLines w:val="0"/>
        <w:widowControl/>
        <w:suppressLineNumbers w:val="0"/>
        <w:spacing w:before="0" w:beforeAutospacing="1" w:after="0" w:afterAutospacing="1"/>
        <w:jc w:val="center"/>
      </w:pPr>
    </w:p>
    <w:p>
      <w:pPr>
        <w:pStyle w:val="17"/>
        <w:keepNext w:val="0"/>
        <w:keepLines w:val="0"/>
        <w:widowControl/>
        <w:suppressLineNumbers w:val="0"/>
        <w:shd w:val="clear" w:fill="FFFFFF"/>
        <w:spacing w:before="60" w:beforeAutospacing="0" w:after="60" w:afterAutospacing="0"/>
        <w:ind w:right="0"/>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kern w:val="0"/>
          <w:sz w:val="36"/>
          <w:szCs w:val="24"/>
        </w:rPr>
      </w:pPr>
    </w:p>
    <w:p>
      <w:pPr>
        <w:spacing w:line="520" w:lineRule="exact"/>
        <w:ind w:firstLine="1800" w:firstLineChars="500"/>
        <w:rPr>
          <w:rFonts w:ascii="宋体" w:hAnsi="宋体" w:eastAsia="宋体" w:cs="宋体"/>
          <w:bCs/>
          <w:kern w:val="0"/>
          <w:sz w:val="36"/>
          <w:szCs w:val="24"/>
        </w:rPr>
      </w:pPr>
    </w:p>
    <w:p>
      <w:pPr>
        <w:spacing w:line="520" w:lineRule="exact"/>
        <w:ind w:firstLine="1800" w:firstLineChars="500"/>
        <w:rPr>
          <w:rFonts w:hint="eastAsia" w:ascii="宋体" w:hAnsi="宋体" w:eastAsia="宋体" w:cs="宋体"/>
          <w:bCs/>
          <w:kern w:val="0"/>
          <w:sz w:val="36"/>
          <w:szCs w:val="24"/>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lang w:eastAsia="zh-CN"/>
        </w:rPr>
        <w:t>2021011500003</w:t>
      </w:r>
      <w:r>
        <w:rPr>
          <w:rFonts w:hint="eastAsia" w:ascii="宋体" w:hAnsi="宋体" w:eastAsia="宋体" w:cs="宋体"/>
          <w:bCs/>
          <w:kern w:val="0"/>
          <w:sz w:val="36"/>
          <w:szCs w:val="24"/>
        </w:rPr>
        <w:t xml:space="preserve"> </w:t>
      </w:r>
    </w:p>
    <w:p>
      <w:pPr>
        <w:spacing w:line="520" w:lineRule="exact"/>
        <w:ind w:firstLine="640" w:firstLineChars="200"/>
        <w:jc w:val="center"/>
        <w:rPr>
          <w:rFonts w:hint="eastAsia" w:ascii="仿宋_GB2312" w:eastAsia="仿宋_GB2312"/>
          <w:sz w:val="32"/>
          <w:szCs w:val="32"/>
          <w:lang w:val="en-US" w:eastAsia="zh-CN"/>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福建广电网络集团股份有限公司沙县分公司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w:t>
      </w:r>
      <w:r>
        <w:rPr>
          <w:rFonts w:hint="eastAsia" w:ascii="宋体" w:hAnsi="宋体" w:eastAsia="宋体" w:cs="宋体"/>
          <w:bCs/>
          <w:kern w:val="0"/>
          <w:sz w:val="36"/>
          <w:szCs w:val="24"/>
          <w:lang w:val="en-US" w:eastAsia="zh-CN"/>
        </w:rPr>
        <w:t>21</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hint="eastAsia" w:ascii="宋体" w:hAnsi="宋体" w:eastAsia="宋体" w:cs="宋体"/>
          <w:bCs/>
          <w:sz w:val="36"/>
          <w:szCs w:val="24"/>
          <w:lang w:val="en-US" w:eastAsia="zh-CN"/>
        </w:rPr>
      </w:pPr>
      <w:r>
        <w:rPr>
          <w:rFonts w:hint="eastAsia" w:ascii="宋体" w:hAnsi="宋体" w:eastAsia="宋体" w:cs="宋体"/>
          <w:bCs/>
          <w:sz w:val="36"/>
          <w:szCs w:val="24"/>
          <w:lang w:val="en-US" w:eastAsia="zh-CN"/>
        </w:rPr>
        <w:t xml:space="preserve"> </w:t>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4"/>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_Toc17903 </w:instrText>
          </w:r>
          <w:r>
            <w:rPr>
              <w:rFonts w:ascii="宋体" w:hAnsi="宋体" w:eastAsia="宋体"/>
            </w:rPr>
            <w:fldChar w:fldCharType="separate"/>
          </w:r>
          <w:r>
            <w:t>第一章询价邀请/询价邀请书</w:t>
          </w:r>
          <w:r>
            <w:tab/>
          </w:r>
          <w:r>
            <w:fldChar w:fldCharType="begin"/>
          </w:r>
          <w:r>
            <w:instrText xml:space="preserve"> PAGEREF _Toc17903 </w:instrText>
          </w:r>
          <w:r>
            <w:fldChar w:fldCharType="separate"/>
          </w:r>
          <w:r>
            <w:t>3</w:t>
          </w:r>
          <w:r>
            <w:fldChar w:fldCharType="end"/>
          </w:r>
          <w:r>
            <w:rPr>
              <w:rFonts w:ascii="宋体" w:hAnsi="宋体" w:eastAsia="宋体"/>
            </w:rPr>
            <w:fldChar w:fldCharType="end"/>
          </w:r>
        </w:p>
        <w:p>
          <w:pPr>
            <w:pStyle w:val="14"/>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_Toc18736 </w:instrText>
          </w:r>
          <w:r>
            <w:rPr>
              <w:rFonts w:ascii="宋体" w:hAnsi="宋体" w:eastAsia="宋体"/>
              <w:bCs/>
              <w:lang w:val="zh-CN"/>
            </w:rPr>
            <w:fldChar w:fldCharType="separate"/>
          </w:r>
          <w:r>
            <w:t>第二章询价须知</w:t>
          </w:r>
          <w:r>
            <w:tab/>
          </w:r>
          <w:r>
            <w:fldChar w:fldCharType="begin"/>
          </w:r>
          <w:r>
            <w:instrText xml:space="preserve"> PAGEREF _Toc18736 </w:instrText>
          </w:r>
          <w:r>
            <w:fldChar w:fldCharType="separate"/>
          </w:r>
          <w:r>
            <w:t>4</w:t>
          </w:r>
          <w:r>
            <w:fldChar w:fldCharType="end"/>
          </w:r>
          <w:r>
            <w:rPr>
              <w:rFonts w:ascii="宋体" w:hAnsi="宋体" w:eastAsia="宋体"/>
              <w:bCs/>
              <w:lang w:val="zh-CN"/>
            </w:rPr>
            <w:fldChar w:fldCharType="end"/>
          </w:r>
        </w:p>
        <w:p>
          <w:pPr>
            <w:pStyle w:val="14"/>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_Toc25794 </w:instrText>
          </w:r>
          <w:r>
            <w:rPr>
              <w:rFonts w:ascii="宋体" w:hAnsi="宋体" w:eastAsia="宋体"/>
              <w:bCs/>
              <w:lang w:val="zh-CN"/>
            </w:rPr>
            <w:fldChar w:fldCharType="separate"/>
          </w:r>
          <w:r>
            <w:t>第</w:t>
          </w:r>
          <w:r>
            <w:rPr>
              <w:rFonts w:hint="eastAsia"/>
            </w:rPr>
            <w:t>三</w:t>
          </w:r>
          <w:r>
            <w:t>章询价内容及要求</w:t>
          </w:r>
          <w:r>
            <w:tab/>
          </w:r>
          <w:r>
            <w:fldChar w:fldCharType="begin"/>
          </w:r>
          <w:r>
            <w:instrText xml:space="preserve"> PAGEREF _Toc25794 </w:instrText>
          </w:r>
          <w:r>
            <w:fldChar w:fldCharType="separate"/>
          </w:r>
          <w:r>
            <w:t>6</w:t>
          </w:r>
          <w:r>
            <w:fldChar w:fldCharType="end"/>
          </w:r>
          <w:r>
            <w:rPr>
              <w:rFonts w:ascii="宋体" w:hAnsi="宋体" w:eastAsia="宋体"/>
              <w:bCs/>
              <w:lang w:val="zh-CN"/>
            </w:rPr>
            <w:fldChar w:fldCharType="end"/>
          </w:r>
        </w:p>
        <w:p>
          <w:pPr>
            <w:pStyle w:val="15"/>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_Toc17208 </w:instrText>
          </w:r>
          <w:r>
            <w:rPr>
              <w:rFonts w:ascii="宋体" w:hAnsi="宋体" w:eastAsia="宋体"/>
              <w:bCs/>
              <w:lang w:val="zh-CN"/>
            </w:rPr>
            <w:fldChar w:fldCharType="separate"/>
          </w:r>
          <w:r>
            <w:t>一、采购标的</w:t>
          </w:r>
          <w:r>
            <w:rPr>
              <w:rFonts w:hint="eastAsia"/>
            </w:rPr>
            <w:t>一览表</w:t>
          </w:r>
          <w:r>
            <w:tab/>
          </w:r>
          <w:r>
            <w:fldChar w:fldCharType="begin"/>
          </w:r>
          <w:r>
            <w:instrText xml:space="preserve"> PAGEREF _Toc17208 </w:instrText>
          </w:r>
          <w:r>
            <w:fldChar w:fldCharType="separate"/>
          </w:r>
          <w:r>
            <w:t>6</w:t>
          </w:r>
          <w:r>
            <w:fldChar w:fldCharType="end"/>
          </w:r>
          <w:r>
            <w:rPr>
              <w:rFonts w:ascii="宋体" w:hAnsi="宋体" w:eastAsia="宋体"/>
              <w:bCs/>
              <w:lang w:val="zh-CN"/>
            </w:rPr>
            <w:fldChar w:fldCharType="end"/>
          </w:r>
        </w:p>
        <w:p>
          <w:pPr>
            <w:pStyle w:val="15"/>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_Toc28866 </w:instrText>
          </w:r>
          <w:r>
            <w:rPr>
              <w:rFonts w:ascii="宋体" w:hAnsi="宋体" w:eastAsia="宋体"/>
              <w:bCs/>
              <w:lang w:val="zh-CN"/>
            </w:rPr>
            <w:fldChar w:fldCharType="separate"/>
          </w:r>
          <w:r>
            <w:rPr>
              <w:rFonts w:hint="eastAsia" w:ascii="宋体" w:hAnsi="宋体" w:eastAsia="宋体" w:cs="宋体"/>
              <w:szCs w:val="24"/>
            </w:rPr>
            <w:t xml:space="preserve">二、 </w:t>
          </w:r>
          <w:r>
            <w:t>技术要求（以下内容不允许负偏离）</w:t>
          </w:r>
          <w:r>
            <w:tab/>
          </w:r>
          <w:r>
            <w:fldChar w:fldCharType="begin"/>
          </w:r>
          <w:r>
            <w:instrText xml:space="preserve"> PAGEREF _Toc28866 </w:instrText>
          </w:r>
          <w:r>
            <w:fldChar w:fldCharType="separate"/>
          </w:r>
          <w:r>
            <w:t>7</w:t>
          </w:r>
          <w:r>
            <w:fldChar w:fldCharType="end"/>
          </w:r>
          <w:r>
            <w:rPr>
              <w:rFonts w:ascii="宋体" w:hAnsi="宋体" w:eastAsia="宋体"/>
              <w:bCs/>
              <w:lang w:val="zh-CN"/>
            </w:rPr>
            <w:fldChar w:fldCharType="end"/>
          </w:r>
        </w:p>
        <w:p>
          <w:pPr>
            <w:pStyle w:val="15"/>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_Toc14354 </w:instrText>
          </w:r>
          <w:r>
            <w:rPr>
              <w:rFonts w:ascii="宋体" w:hAnsi="宋体" w:eastAsia="宋体"/>
              <w:bCs/>
              <w:lang w:val="zh-CN"/>
            </w:rPr>
            <w:fldChar w:fldCharType="separate"/>
          </w:r>
          <w:r>
            <w:t>三、商务条件（以下内容不允许负偏离）</w:t>
          </w:r>
          <w:r>
            <w:tab/>
          </w:r>
          <w:r>
            <w:rPr>
              <w:rFonts w:hint="eastAsia"/>
              <w:lang w:val="en-US" w:eastAsia="zh-CN"/>
            </w:rPr>
            <w:t>8</w:t>
          </w:r>
          <w:r>
            <w:rPr>
              <w:rFonts w:ascii="宋体" w:hAnsi="宋体" w:eastAsia="宋体"/>
              <w:bCs/>
              <w:lang w:val="zh-CN"/>
            </w:rPr>
            <w:fldChar w:fldCharType="end"/>
          </w:r>
        </w:p>
        <w:p>
          <w:pPr>
            <w:pStyle w:val="14"/>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_Toc12868 </w:instrText>
          </w:r>
          <w:r>
            <w:rPr>
              <w:rFonts w:ascii="宋体" w:hAnsi="宋体" w:eastAsia="宋体"/>
              <w:bCs/>
              <w:lang w:val="zh-CN"/>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_Toc12868 </w:instrText>
          </w:r>
          <w:r>
            <w:fldChar w:fldCharType="separate"/>
          </w:r>
          <w:r>
            <w:t>16</w:t>
          </w:r>
          <w:r>
            <w:fldChar w:fldCharType="end"/>
          </w:r>
          <w:r>
            <w:rPr>
              <w:rFonts w:ascii="宋体" w:hAnsi="宋体" w:eastAsia="宋体"/>
              <w:bCs/>
              <w:lang w:val="zh-CN"/>
            </w:rPr>
            <w:fldChar w:fldCharType="end"/>
          </w:r>
        </w:p>
        <w:p>
          <w:pPr>
            <w:pStyle w:val="15"/>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_Toc21368 </w:instrText>
          </w:r>
          <w:r>
            <w:rPr>
              <w:rFonts w:ascii="宋体" w:hAnsi="宋体" w:eastAsia="宋体"/>
              <w:bCs/>
              <w:lang w:val="zh-CN"/>
            </w:rPr>
            <w:fldChar w:fldCharType="separate"/>
          </w:r>
          <w:r>
            <w:rPr>
              <w:rFonts w:hint="eastAsia"/>
            </w:rPr>
            <w:t>1</w:t>
          </w:r>
          <w:r>
            <w:t>、报价一览表</w:t>
          </w:r>
          <w:r>
            <w:tab/>
          </w:r>
          <w:r>
            <w:fldChar w:fldCharType="begin"/>
          </w:r>
          <w:r>
            <w:instrText xml:space="preserve"> PAGEREF _Toc21368 </w:instrText>
          </w:r>
          <w:r>
            <w:fldChar w:fldCharType="separate"/>
          </w:r>
          <w:r>
            <w:t>18</w:t>
          </w:r>
          <w:r>
            <w:fldChar w:fldCharType="end"/>
          </w:r>
          <w:r>
            <w:rPr>
              <w:rFonts w:ascii="宋体" w:hAnsi="宋体" w:eastAsia="宋体"/>
              <w:bCs/>
              <w:lang w:val="zh-CN"/>
            </w:rPr>
            <w:fldChar w:fldCharType="end"/>
          </w:r>
        </w:p>
        <w:p>
          <w:pPr>
            <w:pStyle w:val="15"/>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_Toc32753 </w:instrText>
          </w:r>
          <w:r>
            <w:rPr>
              <w:rFonts w:ascii="宋体" w:hAnsi="宋体" w:eastAsia="宋体"/>
              <w:bCs/>
              <w:lang w:val="zh-CN"/>
            </w:rPr>
            <w:fldChar w:fldCharType="separate"/>
          </w:r>
          <w:r>
            <w:rPr>
              <w:rFonts w:hint="eastAsia"/>
            </w:rPr>
            <w:t>2</w:t>
          </w:r>
          <w:r>
            <w:t>、分项报价表</w:t>
          </w:r>
          <w:r>
            <w:tab/>
          </w:r>
          <w:r>
            <w:fldChar w:fldCharType="begin"/>
          </w:r>
          <w:r>
            <w:instrText xml:space="preserve"> PAGEREF _Toc32753 </w:instrText>
          </w:r>
          <w:r>
            <w:fldChar w:fldCharType="separate"/>
          </w:r>
          <w:r>
            <w:t>19</w:t>
          </w:r>
          <w:r>
            <w:fldChar w:fldCharType="end"/>
          </w:r>
          <w:r>
            <w:rPr>
              <w:rFonts w:ascii="宋体" w:hAnsi="宋体" w:eastAsia="宋体"/>
              <w:bCs/>
              <w:lang w:val="zh-CN"/>
            </w:rPr>
            <w:fldChar w:fldCharType="end"/>
          </w:r>
        </w:p>
        <w:p>
          <w:pPr>
            <w:pStyle w:val="15"/>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_Toc19447 </w:instrText>
          </w:r>
          <w:r>
            <w:rPr>
              <w:rFonts w:ascii="宋体" w:hAnsi="宋体" w:eastAsia="宋体"/>
              <w:bCs/>
              <w:lang w:val="zh-CN"/>
            </w:rPr>
            <w:fldChar w:fldCharType="separate"/>
          </w:r>
          <w:r>
            <w:rPr>
              <w:rFonts w:hint="eastAsia"/>
            </w:rPr>
            <w:t>3、资格证明文件</w:t>
          </w:r>
          <w:r>
            <w:tab/>
          </w:r>
          <w:r>
            <w:fldChar w:fldCharType="begin"/>
          </w:r>
          <w:r>
            <w:instrText xml:space="preserve"> PAGEREF _Toc19447 </w:instrText>
          </w:r>
          <w:r>
            <w:fldChar w:fldCharType="separate"/>
          </w:r>
          <w:r>
            <w:t>20</w:t>
          </w:r>
          <w:r>
            <w:fldChar w:fldCharType="end"/>
          </w:r>
          <w:r>
            <w:rPr>
              <w:rFonts w:ascii="宋体" w:hAnsi="宋体" w:eastAsia="宋体"/>
              <w:bCs/>
              <w:lang w:val="zh-CN"/>
            </w:rPr>
            <w:fldChar w:fldCharType="end"/>
          </w:r>
        </w:p>
        <w:p>
          <w:pPr>
            <w:pStyle w:val="9"/>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_Toc11904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_Toc11904 </w:instrText>
          </w:r>
          <w:r>
            <w:fldChar w:fldCharType="separate"/>
          </w:r>
          <w:r>
            <w:t>20</w:t>
          </w:r>
          <w:r>
            <w:fldChar w:fldCharType="end"/>
          </w:r>
          <w:r>
            <w:rPr>
              <w:rFonts w:ascii="宋体" w:hAnsi="宋体" w:eastAsia="宋体"/>
              <w:bCs/>
              <w:lang w:val="zh-CN"/>
            </w:rPr>
            <w:fldChar w:fldCharType="end"/>
          </w:r>
        </w:p>
        <w:p>
          <w:pPr>
            <w:pStyle w:val="9"/>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_Toc16968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_Toc16968 </w:instrText>
          </w:r>
          <w:r>
            <w:fldChar w:fldCharType="separate"/>
          </w:r>
          <w:r>
            <w:t>21</w:t>
          </w:r>
          <w:r>
            <w:fldChar w:fldCharType="end"/>
          </w:r>
          <w:r>
            <w:rPr>
              <w:rFonts w:ascii="宋体" w:hAnsi="宋体" w:eastAsia="宋体"/>
              <w:bCs/>
              <w:lang w:val="zh-CN"/>
            </w:rPr>
            <w:fldChar w:fldCharType="end"/>
          </w:r>
        </w:p>
        <w:p>
          <w:pPr>
            <w:pStyle w:val="15"/>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_Toc26424 </w:instrText>
          </w:r>
          <w:r>
            <w:rPr>
              <w:rFonts w:ascii="宋体" w:hAnsi="宋体" w:eastAsia="宋体"/>
              <w:bCs/>
              <w:lang w:val="zh-CN"/>
            </w:rPr>
            <w:fldChar w:fldCharType="separate"/>
          </w:r>
          <w:r>
            <w:rPr>
              <w:rFonts w:hint="eastAsia"/>
            </w:rPr>
            <w:t>4</w:t>
          </w:r>
          <w:r>
            <w:t>、技术要求响应表</w:t>
          </w:r>
          <w:r>
            <w:tab/>
          </w:r>
          <w:r>
            <w:fldChar w:fldCharType="begin"/>
          </w:r>
          <w:r>
            <w:instrText xml:space="preserve"> PAGEREF _Toc26424 </w:instrText>
          </w:r>
          <w:r>
            <w:fldChar w:fldCharType="separate"/>
          </w:r>
          <w:r>
            <w:t>23</w:t>
          </w:r>
          <w:r>
            <w:fldChar w:fldCharType="end"/>
          </w:r>
          <w:r>
            <w:rPr>
              <w:rFonts w:ascii="宋体" w:hAnsi="宋体" w:eastAsia="宋体"/>
              <w:bCs/>
              <w:lang w:val="zh-CN"/>
            </w:rPr>
            <w:fldChar w:fldCharType="end"/>
          </w:r>
        </w:p>
        <w:p>
          <w:pPr>
            <w:pStyle w:val="15"/>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_Toc24633 </w:instrText>
          </w:r>
          <w:r>
            <w:rPr>
              <w:rFonts w:ascii="宋体" w:hAnsi="宋体" w:eastAsia="宋体"/>
              <w:bCs/>
              <w:lang w:val="zh-CN"/>
            </w:rPr>
            <w:fldChar w:fldCharType="separate"/>
          </w:r>
          <w:r>
            <w:rPr>
              <w:rFonts w:hint="eastAsia"/>
            </w:rPr>
            <w:t>5</w:t>
          </w:r>
          <w:r>
            <w:t>、商务条件响应表</w:t>
          </w:r>
          <w:r>
            <w:tab/>
          </w:r>
          <w:r>
            <w:fldChar w:fldCharType="begin"/>
          </w:r>
          <w:r>
            <w:instrText xml:space="preserve"> PAGEREF _Toc24633 </w:instrText>
          </w:r>
          <w:r>
            <w:fldChar w:fldCharType="separate"/>
          </w:r>
          <w:r>
            <w:t>24</w:t>
          </w:r>
          <w:r>
            <w:fldChar w:fldCharType="end"/>
          </w:r>
          <w:r>
            <w:rPr>
              <w:rFonts w:ascii="宋体" w:hAnsi="宋体" w:eastAsia="宋体"/>
              <w:bCs/>
              <w:lang w:val="zh-CN"/>
            </w:rPr>
            <w:fldChar w:fldCharType="end"/>
          </w:r>
        </w:p>
        <w:p>
          <w:pPr>
            <w:pStyle w:val="15"/>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_Toc25524 </w:instrText>
          </w:r>
          <w:r>
            <w:rPr>
              <w:rFonts w:ascii="宋体" w:hAnsi="宋体" w:eastAsia="宋体"/>
              <w:bCs/>
              <w:lang w:val="zh-CN"/>
            </w:rPr>
            <w:fldChar w:fldCharType="separate"/>
          </w:r>
          <w:r>
            <w:rPr>
              <w:rFonts w:hint="eastAsia"/>
            </w:rPr>
            <w:t>6</w:t>
          </w:r>
          <w:r>
            <w:t>、</w:t>
          </w:r>
          <w:r>
            <w:rPr>
              <w:rFonts w:hint="eastAsia"/>
            </w:rPr>
            <w:t>售后服务承诺函</w:t>
          </w:r>
          <w:r>
            <w:tab/>
          </w:r>
          <w:r>
            <w:fldChar w:fldCharType="begin"/>
          </w:r>
          <w:r>
            <w:instrText xml:space="preserve"> PAGEREF _Toc25524 </w:instrText>
          </w:r>
          <w:r>
            <w:fldChar w:fldCharType="separate"/>
          </w:r>
          <w:r>
            <w:t>25</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4"/>
      </w:pPr>
      <w:bookmarkStart w:id="0" w:name="_Toc17903"/>
      <w:r>
        <w:t>第一章询价邀请/询价邀请书</w:t>
      </w:r>
      <w:bookmarkEnd w:id="0"/>
    </w:p>
    <w:p>
      <w:pPr>
        <w:pStyle w:val="17"/>
        <w:keepNext w:val="0"/>
        <w:keepLines w:val="0"/>
        <w:widowControl/>
        <w:suppressLineNumbers w:val="0"/>
        <w:spacing w:before="0" w:beforeAutospacing="0" w:after="0" w:afterAutospacing="0" w:line="23" w:lineRule="atLeast"/>
        <w:ind w:left="-362" w:right="-362" w:firstLine="480" w:firstLineChars="200"/>
        <w:jc w:val="both"/>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eastAsia="zh-CN"/>
        </w:rPr>
        <w:t>沙县</w:t>
      </w:r>
      <w:r>
        <w:rPr>
          <w:rFonts w:hint="eastAsia" w:ascii="宋体" w:hAnsi="宋体" w:eastAsia="宋体"/>
          <w:sz w:val="24"/>
          <w:szCs w:val="24"/>
        </w:rPr>
        <w:t>分公司组织</w:t>
      </w:r>
      <w:r>
        <w:rPr>
          <w:rFonts w:hint="eastAsia"/>
          <w:b/>
          <w:bCs/>
          <w:sz w:val="32"/>
          <w:szCs w:val="24"/>
          <w:u w:val="single" w:color="auto"/>
          <w:lang w:eastAsia="zh-CN"/>
        </w:rPr>
        <w:t>沙县融媒体中心智能门卫系统项目</w:t>
      </w:r>
      <w:r>
        <w:rPr>
          <w:rFonts w:hint="eastAsia" w:ascii="宋体" w:hAnsi="宋体" w:eastAsia="宋体"/>
          <w:sz w:val="24"/>
          <w:szCs w:val="24"/>
        </w:rPr>
        <w:t>标前询价，欢迎合格供应商前来参加。</w:t>
      </w:r>
    </w:p>
    <w:p>
      <w:pPr>
        <w:widowControl/>
        <w:shd w:val="clear" w:color="auto" w:fill="FFFFFF"/>
        <w:spacing w:line="360" w:lineRule="auto"/>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u w:val="single"/>
        </w:rPr>
      </w:pPr>
      <w:r>
        <w:rPr>
          <w:rFonts w:hint="eastAsia" w:ascii="宋体" w:hAnsi="宋体" w:eastAsia="宋体"/>
          <w:sz w:val="24"/>
          <w:szCs w:val="24"/>
        </w:rPr>
        <w:t>项目编号：</w:t>
      </w:r>
      <w:r>
        <w:rPr>
          <w:rFonts w:hint="eastAsia" w:ascii="宋体" w:hAnsi="宋体" w:eastAsia="宋体"/>
          <w:sz w:val="24"/>
          <w:szCs w:val="24"/>
          <w:lang w:eastAsia="zh-CN"/>
        </w:rPr>
        <w:t>2021011500003</w:t>
      </w:r>
      <w:r>
        <w:rPr>
          <w:rFonts w:hint="eastAsia" w:ascii="宋体" w:hAnsi="宋体" w:eastAsia="宋体"/>
          <w:sz w:val="24"/>
          <w:szCs w:val="24"/>
        </w:rPr>
        <w:t xml:space="preserve"> </w:t>
      </w:r>
    </w:p>
    <w:p>
      <w:pPr>
        <w:numPr>
          <w:ilvl w:val="0"/>
          <w:numId w:val="1"/>
        </w:numPr>
        <w:spacing w:line="360" w:lineRule="auto"/>
        <w:ind w:firstLine="480"/>
        <w:jc w:val="left"/>
      </w:pPr>
      <w:r>
        <w:rPr>
          <w:rFonts w:hint="eastAsia" w:ascii="宋体" w:hAnsi="宋体" w:eastAsia="宋体"/>
          <w:sz w:val="24"/>
          <w:szCs w:val="24"/>
        </w:rPr>
        <w:t>预算金额、最高限价：</w:t>
      </w:r>
      <w:r>
        <w:rPr>
          <w:rFonts w:hint="eastAsia" w:ascii="宋体" w:hAnsi="宋体" w:eastAsia="宋体"/>
          <w:sz w:val="24"/>
          <w:szCs w:val="24"/>
          <w:lang w:val="en-US" w:eastAsia="zh-CN"/>
        </w:rPr>
        <w:t>包1：5万元。</w:t>
      </w:r>
    </w:p>
    <w:p>
      <w:pPr>
        <w:numPr>
          <w:ilvl w:val="0"/>
          <w:numId w:val="1"/>
        </w:numPr>
        <w:spacing w:line="360" w:lineRule="auto"/>
        <w:ind w:firstLine="480"/>
        <w:jc w:val="left"/>
        <w:rPr>
          <w:rFonts w:ascii="宋体" w:hAnsi="宋体" w:eastAsia="宋体"/>
          <w:sz w:val="24"/>
          <w:szCs w:val="24"/>
        </w:rPr>
      </w:pPr>
      <w:r>
        <w:rPr>
          <w:rFonts w:ascii="宋体" w:hAnsi="宋体" w:eastAsia="宋体"/>
          <w:sz w:val="24"/>
          <w:szCs w:val="24"/>
        </w:rPr>
        <w:t>询价内容及技术商务依据</w:t>
      </w:r>
      <w:r>
        <w:rPr>
          <w:rFonts w:hint="eastAsia" w:ascii="宋体" w:hAnsi="宋体" w:eastAsia="宋体"/>
          <w:sz w:val="24"/>
          <w:szCs w:val="24"/>
        </w:rPr>
        <w:t>项目编号：</w:t>
      </w:r>
      <w:r>
        <w:rPr>
          <w:rFonts w:hint="eastAsia" w:ascii="宋体" w:hAnsi="宋体" w:eastAsia="宋体"/>
          <w:sz w:val="24"/>
          <w:szCs w:val="24"/>
          <w:u w:val="single"/>
          <w:lang w:eastAsia="zh-CN"/>
        </w:rPr>
        <w:t>沙县融媒体中心智能门卫系统项目</w:t>
      </w:r>
      <w:r>
        <w:rPr>
          <w:rFonts w:hint="eastAsia" w:ascii="宋体" w:hAnsi="宋体" w:eastAsia="宋体"/>
          <w:sz w:val="24"/>
          <w:szCs w:val="24"/>
          <w:u w:val="single"/>
          <w:lang w:val="en-US" w:eastAsia="zh-CN"/>
        </w:rPr>
        <w:t>项目</w:t>
      </w:r>
      <w:r>
        <w:rPr>
          <w:rFonts w:hint="eastAsia" w:ascii="宋体" w:hAnsi="宋体" w:eastAsia="宋体"/>
          <w:sz w:val="24"/>
          <w:szCs w:val="24"/>
        </w:rPr>
        <w:t>招标要</w:t>
      </w:r>
      <w:r>
        <w:rPr>
          <w:rFonts w:ascii="宋体" w:hAnsi="宋体" w:eastAsia="宋体"/>
          <w:sz w:val="24"/>
          <w:szCs w:val="24"/>
        </w:rPr>
        <w:t>求</w:t>
      </w:r>
      <w:r>
        <w:rPr>
          <w:rFonts w:hint="eastAsia" w:ascii="宋体" w:hAnsi="宋体" w:eastAsia="宋体"/>
          <w:sz w:val="24"/>
          <w:szCs w:val="24"/>
        </w:rPr>
        <w:t>。</w:t>
      </w:r>
    </w:p>
    <w:p>
      <w:pPr>
        <w:pStyle w:val="17"/>
        <w:snapToGrid w:val="0"/>
        <w:spacing w:line="360" w:lineRule="auto"/>
        <w:contextualSpacing/>
      </w:pPr>
      <w:r>
        <w:rPr>
          <w:rFonts w:hint="eastAsia"/>
        </w:rPr>
        <w:t>二、供应商资格要求</w:t>
      </w:r>
    </w:p>
    <w:p>
      <w:pPr>
        <w:pStyle w:val="17"/>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7"/>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7"/>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7"/>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4"/>
      </w:pPr>
      <w:bookmarkStart w:id="1" w:name="_Toc18736"/>
      <w:r>
        <w:t>第二章询价须知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8"/>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7"/>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7"/>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eastAsia="zh-CN"/>
              </w:rPr>
              <w:t>沙县</w:t>
            </w:r>
            <w:r>
              <w:rPr>
                <w:rFonts w:hint="eastAsia"/>
              </w:rPr>
              <w:t>分公司通报整改期限内；</w:t>
            </w:r>
          </w:p>
          <w:p>
            <w:pPr>
              <w:pStyle w:val="17"/>
              <w:snapToGrid w:val="0"/>
              <w:spacing w:line="360" w:lineRule="auto"/>
              <w:ind w:firstLine="480" w:firstLineChars="200"/>
              <w:contextualSpacing/>
            </w:pPr>
            <w:r>
              <w:rPr>
                <w:rFonts w:hint="eastAsia"/>
              </w:rPr>
              <w:t>（三）理解并遵守福建广电网络集团股份有限公司</w:t>
            </w:r>
            <w:r>
              <w:rPr>
                <w:rFonts w:hint="eastAsia"/>
                <w:lang w:eastAsia="zh-CN"/>
              </w:rPr>
              <w:t>沙县</w:t>
            </w:r>
            <w:r>
              <w:rPr>
                <w:rFonts w:hint="eastAsia"/>
              </w:rPr>
              <w:t>分公司采购平台的规定及要求；</w:t>
            </w:r>
          </w:p>
          <w:p>
            <w:pPr>
              <w:pStyle w:val="17"/>
              <w:snapToGrid w:val="0"/>
              <w:spacing w:line="360" w:lineRule="auto"/>
              <w:ind w:firstLine="480" w:firstLineChars="200"/>
              <w:contextualSpacing/>
              <w:rPr>
                <w:rFonts w:hint="eastAsia"/>
                <w:lang w:eastAsia="zh-CN"/>
              </w:rPr>
            </w:pPr>
            <w:r>
              <w:rPr>
                <w:rFonts w:hint="eastAsia"/>
              </w:rPr>
              <w:t>（四）所有参加投标的投标方代表均需随身携带本人身份证原件。如果投标方代表不是法定代表人，投标方代表还需提交《法定代表人授权书》</w:t>
            </w:r>
            <w:r>
              <w:rPr>
                <w:rFonts w:hint="eastAsia"/>
                <w:lang w:eastAsia="zh-CN"/>
              </w:rPr>
              <w:t>，且投标供应商授权代表必须为在岗员工。</w:t>
            </w:r>
          </w:p>
          <w:p>
            <w:pPr>
              <w:pStyle w:val="10"/>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（五）</w:t>
            </w:r>
            <w:r>
              <w:rPr>
                <w:rFonts w:hint="eastAsia" w:ascii="宋体" w:hAnsi="宋体" w:eastAsia="宋体" w:cs="宋体"/>
                <w:kern w:val="0"/>
                <w:sz w:val="24"/>
                <w:szCs w:val="24"/>
                <w:lang w:val="en-US" w:eastAsia="zh-CN" w:bidi="ar-SA"/>
              </w:rPr>
              <w:t>报价人应是具备独立法人（单位负责人）资格，注册资本不少于100万元，且注册时间不少于2年，并有能力提供询价货物及服务的国内企业；若报价人为分公司的，所属母公司须为上市企业或大型国有企业 (报价人应在报价文件中提供合格有效的企业法人（单位负责人）营业执照副本和税务登记证复印件，或三证合一的营业执照副本复印件,并加盖报价人单位公章)。</w:t>
            </w:r>
          </w:p>
          <w:p>
            <w:pPr>
              <w:pStyle w:val="10"/>
              <w:numPr>
                <w:ilvl w:val="0"/>
                <w:numId w:val="0"/>
              </w:numPr>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（六）</w:t>
            </w:r>
            <w:r>
              <w:rPr>
                <w:rFonts w:hint="eastAsia" w:ascii="宋体" w:hAnsi="宋体" w:eastAsia="宋体" w:cs="宋体"/>
                <w:kern w:val="0"/>
                <w:sz w:val="24"/>
                <w:szCs w:val="24"/>
                <w:lang w:val="en-US" w:eastAsia="zh-CN" w:bidi="ar-SA"/>
              </w:rPr>
              <w:t>报价人须在投标截止时间前分别通过“信用中国”网站（www.creditchina.gov.cn）、中国政府采购网（www.ccgp.gov.cn）查询并打印相应的信用记录,信用记录中有不良情况，存在履约、实施、交付风险的报价人不允许参与。</w:t>
            </w:r>
          </w:p>
          <w:p>
            <w:pPr>
              <w:pStyle w:val="10"/>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（七）</w:t>
            </w:r>
            <w:r>
              <w:rPr>
                <w:rFonts w:hint="eastAsia" w:ascii="宋体" w:hAnsi="宋体" w:eastAsia="宋体" w:cs="宋体"/>
                <w:kern w:val="0"/>
                <w:sz w:val="24"/>
                <w:szCs w:val="24"/>
                <w:lang w:val="en-US" w:eastAsia="zh-CN" w:bidi="ar-SA"/>
              </w:rPr>
              <w:t>投标供应商应提供投标日期最近半年任意一个月企业社保缴纳证明以及企业完税证明。</w:t>
            </w:r>
          </w:p>
          <w:p>
            <w:pPr>
              <w:pStyle w:val="10"/>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（八）</w:t>
            </w:r>
            <w:r>
              <w:rPr>
                <w:rFonts w:hint="eastAsia" w:ascii="宋体" w:hAnsi="宋体" w:eastAsia="宋体" w:cs="宋体"/>
                <w:kern w:val="0"/>
                <w:sz w:val="24"/>
                <w:szCs w:val="24"/>
                <w:lang w:val="en-US" w:eastAsia="zh-CN" w:bidi="ar-SA"/>
              </w:rPr>
              <w:t>投标授权代表必须为在岗员工，提供投标日期前不少于3个月企业社保缴纳证明。</w:t>
            </w:r>
          </w:p>
          <w:p>
            <w:pPr>
              <w:pStyle w:val="10"/>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（九）</w:t>
            </w:r>
            <w:r>
              <w:rPr>
                <w:rFonts w:hint="eastAsia" w:ascii="宋体" w:hAnsi="宋体" w:eastAsia="宋体" w:cs="宋体"/>
                <w:kern w:val="0"/>
                <w:sz w:val="24"/>
                <w:szCs w:val="24"/>
                <w:lang w:val="en-US" w:eastAsia="zh-CN" w:bidi="ar-SA"/>
              </w:rPr>
              <w:t>报价人必须承诺“其所报的设备和系统已完全达到本标书的系统总体设计和功能要求，中标后采购人根据参数对产品进行逐一验证，若有任何一项不符视为虚假应标，并承担相应的经济损失和法律责任。</w:t>
            </w:r>
          </w:p>
          <w:p>
            <w:pPr>
              <w:pStyle w:val="10"/>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w:t>
            </w:r>
            <w:r>
              <w:rPr>
                <w:rFonts w:hint="eastAsia" w:ascii="宋体" w:hAnsi="宋体" w:eastAsia="宋体" w:cs="宋体"/>
                <w:kern w:val="0"/>
                <w:sz w:val="24"/>
                <w:szCs w:val="24"/>
                <w:lang w:val="en-US" w:eastAsia="zh-CN" w:bidi="ar-SA"/>
              </w:rPr>
              <w:t>报价人必须提供响应的业绩案例，案例为已完成验收的项目，金额不得小于本次项目预算金额的50%，并提供项目合同及验收报告。</w:t>
            </w:r>
          </w:p>
          <w:p>
            <w:pPr>
              <w:pStyle w:val="10"/>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（十一）</w:t>
            </w:r>
            <w:r>
              <w:rPr>
                <w:rFonts w:hint="eastAsia" w:ascii="宋体" w:hAnsi="宋体" w:eastAsia="宋体" w:cs="宋体"/>
                <w:kern w:val="0"/>
                <w:sz w:val="24"/>
                <w:szCs w:val="24"/>
                <w:lang w:val="en-US" w:eastAsia="zh-CN" w:bidi="ar-SA"/>
              </w:rPr>
              <w:t>两家或多家参与投标的报价人，如果单位负责人为同一人或者存在控股、管理关系的，不允许参与项目投标。</w:t>
            </w:r>
          </w:p>
          <w:p>
            <w:pPr>
              <w:pStyle w:val="10"/>
              <w:widowControl/>
              <w:numPr>
                <w:ilvl w:val="0"/>
                <w:numId w:val="0"/>
              </w:numPr>
              <w:shd w:val="clear" w:color="auto" w:fill="FFFFFF"/>
              <w:tabs>
                <w:tab w:val="left" w:pos="1843"/>
              </w:tabs>
              <w:adjustRightInd w:val="0"/>
              <w:snapToGrid w:val="0"/>
              <w:spacing w:line="360" w:lineRule="auto"/>
              <w:ind w:firstLine="480" w:firstLineChars="200"/>
              <w:rPr>
                <w:rFonts w:hint="eastAsia" w:ascii="宋体" w:hAnsi="宋体" w:eastAsia="宋体" w:cs="宋体"/>
                <w:kern w:val="0"/>
                <w:sz w:val="24"/>
                <w:szCs w:val="24"/>
                <w:lang w:val="en-US" w:eastAsia="zh-CN" w:bidi="ar-SA"/>
              </w:rPr>
            </w:pPr>
            <w:r>
              <w:rPr>
                <w:rFonts w:hint="eastAsia" w:hAnsi="宋体" w:eastAsia="宋体" w:cs="宋体"/>
                <w:kern w:val="0"/>
                <w:sz w:val="24"/>
                <w:szCs w:val="24"/>
                <w:lang w:val="en-US" w:eastAsia="zh-CN" w:bidi="ar-SA"/>
              </w:rPr>
              <w:t>（十二）</w:t>
            </w:r>
            <w:r>
              <w:rPr>
                <w:rFonts w:hint="eastAsia" w:ascii="宋体" w:hAnsi="宋体" w:eastAsia="宋体" w:cs="宋体"/>
                <w:kern w:val="0"/>
                <w:sz w:val="24"/>
                <w:szCs w:val="24"/>
                <w:lang w:val="en-US" w:eastAsia="zh-CN" w:bidi="ar-SA"/>
              </w:rPr>
              <w:t>本项目为交钥匙工程。</w:t>
            </w:r>
          </w:p>
          <w:p>
            <w:pPr>
              <w:pStyle w:val="10"/>
              <w:widowControl/>
              <w:numPr>
                <w:ilvl w:val="0"/>
                <w:numId w:val="0"/>
              </w:numPr>
              <w:shd w:val="clear" w:color="auto" w:fill="FFFFFF"/>
              <w:tabs>
                <w:tab w:val="left" w:pos="1843"/>
              </w:tabs>
              <w:adjustRightInd w:val="0"/>
              <w:snapToGrid w:val="0"/>
              <w:spacing w:line="360" w:lineRule="auto"/>
              <w:ind w:firstLine="480" w:firstLineChars="200"/>
              <w:rPr>
                <w:rFonts w:hint="eastAsia"/>
                <w:lang w:eastAsia="zh-CN"/>
              </w:rPr>
            </w:pPr>
            <w:r>
              <w:rPr>
                <w:rFonts w:hint="eastAsia" w:hAnsi="宋体" w:eastAsia="宋体" w:cs="宋体"/>
                <w:kern w:val="0"/>
                <w:sz w:val="24"/>
                <w:szCs w:val="24"/>
                <w:lang w:val="en-US" w:eastAsia="zh-CN" w:bidi="ar-SA"/>
              </w:rPr>
              <w:t>（十三）</w:t>
            </w:r>
            <w:r>
              <w:rPr>
                <w:rFonts w:hint="eastAsia" w:ascii="宋体" w:hAnsi="宋体" w:eastAsia="宋体" w:cs="宋体"/>
                <w:kern w:val="0"/>
                <w:sz w:val="24"/>
                <w:szCs w:val="24"/>
                <w:lang w:val="en-US" w:eastAsia="zh-CN" w:bidi="ar-SA"/>
              </w:rPr>
              <w:t>本项目不接受联合体报价。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w:t>
            </w:r>
            <w:r>
              <w:rPr>
                <w:rFonts w:hint="eastAsia" w:ascii="宋体" w:hAnsi="宋体" w:eastAsia="宋体" w:cs="宋体"/>
                <w:kern w:val="0"/>
                <w:sz w:val="24"/>
                <w:szCs w:val="24"/>
                <w:lang w:val="en-US" w:eastAsia="zh-CN"/>
              </w:rPr>
              <w:t>6</w:t>
            </w:r>
            <w:r>
              <w:rPr>
                <w:rFonts w:ascii="宋体" w:hAnsi="宋体" w:eastAsia="宋体" w:cs="宋体"/>
                <w:kern w:val="0"/>
                <w:sz w:val="24"/>
                <w:szCs w:val="24"/>
              </w:rPr>
              <w:t>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lang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p>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 xml:space="preserve">   合同签订并验收合格后（收到乙方开具的等额增值税专用发票）15日内现金支付合同总价的95%，余下5%作为质量保证金，壹年质保期满后无质量问题背靠背现金无息支付。 </w:t>
            </w:r>
          </w:p>
        </w:tc>
      </w:tr>
    </w:tbl>
    <w:p>
      <w:pPr>
        <w:pStyle w:val="4"/>
      </w:pPr>
      <w:bookmarkStart w:id="2" w:name="_Toc25794"/>
      <w:r>
        <w:t>第</w:t>
      </w:r>
      <w:r>
        <w:rPr>
          <w:rFonts w:hint="eastAsia"/>
        </w:rPr>
        <w:t>三</w:t>
      </w:r>
      <w:r>
        <w:t>章询价内容及要求</w:t>
      </w:r>
      <w:bookmarkEnd w:id="2"/>
    </w:p>
    <w:p>
      <w:pPr>
        <w:pStyle w:val="5"/>
        <w:numPr>
          <w:ilvl w:val="0"/>
          <w:numId w:val="2"/>
        </w:numPr>
        <w:rPr>
          <w:rFonts w:hint="eastAsia"/>
        </w:rPr>
      </w:pPr>
      <w:bookmarkStart w:id="3" w:name="_Toc17208"/>
      <w:r>
        <w:t>采购标的</w:t>
      </w:r>
      <w:r>
        <w:rPr>
          <w:rFonts w:hint="eastAsia"/>
        </w:rPr>
        <w:t>一览表</w:t>
      </w:r>
      <w:bookmarkEnd w:id="3"/>
    </w:p>
    <w:p>
      <w:pPr>
        <w:numPr>
          <w:ilvl w:val="0"/>
          <w:numId w:val="0"/>
        </w:numPr>
        <w:rPr>
          <w:rFonts w:hint="eastAsia" w:eastAsia="宋体"/>
          <w:lang w:eastAsia="zh-CN"/>
        </w:rPr>
      </w:pPr>
      <w:r>
        <w:rPr>
          <w:rFonts w:hint="eastAsia" w:eastAsia="宋体"/>
          <w:lang w:eastAsia="zh-CN"/>
        </w:rPr>
        <w:t>金额单位：人民币元</w:t>
      </w:r>
    </w:p>
    <w:tbl>
      <w:tblPr>
        <w:tblStyle w:val="18"/>
        <w:tblW w:w="832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w:t>
            </w:r>
          </w:p>
        </w:tc>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w:t>
            </w:r>
          </w:p>
        </w:tc>
        <w:tc>
          <w:tcPr>
            <w:tcW w:w="1849"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采购标的</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数量</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品目号预算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允许进口</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合同包预算</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ascii="宋体" w:hAnsi="宋体" w:eastAsia="宋体" w:cs="宋体"/>
                <w:kern w:val="0"/>
                <w:sz w:val="24"/>
                <w:szCs w:val="24"/>
              </w:rPr>
            </w:pPr>
            <w:r>
              <w:rPr>
                <w:rFonts w:ascii="宋体" w:hAnsi="宋体" w:eastAsia="宋体" w:cs="宋体"/>
                <w:kern w:val="0"/>
                <w:sz w:val="24"/>
                <w:szCs w:val="24"/>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24"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5548" w:type="dxa"/>
            <w:gridSpan w:val="5"/>
            <w:tcBorders>
              <w:top w:val="outset" w:color="auto" w:sz="6" w:space="0"/>
              <w:left w:val="outset" w:color="auto" w:sz="6" w:space="0"/>
              <w:bottom w:val="outset" w:color="auto" w:sz="6" w:space="0"/>
              <w:right w:val="outset" w:color="auto" w:sz="6" w:space="0"/>
            </w:tcBorders>
            <w:vAlign w:val="center"/>
          </w:tcPr>
          <w:tbl>
            <w:tblPr>
              <w:tblStyle w:val="18"/>
              <w:tblW w:w="551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920"/>
              <w:gridCol w:w="1840"/>
              <w:gridCol w:w="919"/>
              <w:gridCol w:w="919"/>
              <w:gridCol w:w="91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20"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w:t>
                  </w:r>
                </w:p>
              </w:tc>
              <w:tc>
                <w:tcPr>
                  <w:tcW w:w="184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left"/>
                    <w:rPr>
                      <w:rFonts w:hint="eastAsia" w:ascii="宋体" w:hAnsi="宋体" w:eastAsia="宋体" w:cs="宋体"/>
                      <w:kern w:val="0"/>
                      <w:sz w:val="24"/>
                      <w:szCs w:val="24"/>
                      <w:lang w:val="en-US" w:eastAsia="zh-CN"/>
                    </w:rPr>
                  </w:pPr>
                  <w:r>
                    <w:rPr>
                      <w:rFonts w:hint="eastAsia" w:eastAsia="宋体"/>
                      <w:lang w:eastAsia="zh-CN"/>
                    </w:rPr>
                    <w:t>沙县融媒体中心智能门卫系统项目</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1项</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50000</w:t>
                  </w:r>
                </w:p>
              </w:tc>
              <w:tc>
                <w:tcPr>
                  <w:tcW w:w="919"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否</w:t>
                  </w:r>
                </w:p>
              </w:tc>
            </w:tr>
          </w:tbl>
          <w:p>
            <w:pPr>
              <w:widowControl/>
              <w:jc w:val="center"/>
              <w:rPr>
                <w:rFonts w:ascii="宋体" w:hAnsi="宋体" w:eastAsia="宋体" w:cs="宋体"/>
                <w:kern w:val="0"/>
                <w:sz w:val="24"/>
                <w:szCs w:val="24"/>
              </w:rPr>
            </w:pP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50000</w:t>
            </w:r>
          </w:p>
        </w:tc>
        <w:tc>
          <w:tcPr>
            <w:tcW w:w="925" w:type="dxa"/>
            <w:tcBorders>
              <w:top w:val="outset" w:color="auto" w:sz="6" w:space="0"/>
              <w:left w:val="outset" w:color="auto" w:sz="6" w:space="0"/>
              <w:bottom w:val="outset" w:color="auto" w:sz="6" w:space="0"/>
              <w:right w:val="outset" w:color="auto" w:sz="6" w:space="0"/>
            </w:tcBorders>
            <w:vAlign w:val="center"/>
          </w:tcPr>
          <w:p>
            <w:pPr>
              <w:widowControl/>
              <w:jc w:val="center"/>
              <w:rPr>
                <w:rFonts w:hint="eastAsia" w:ascii="宋体" w:hAnsi="宋体" w:eastAsia="宋体" w:cs="宋体"/>
                <w:kern w:val="0"/>
                <w:sz w:val="24"/>
                <w:szCs w:val="24"/>
                <w:lang w:val="en-US" w:eastAsia="zh-CN"/>
              </w:rPr>
            </w:pPr>
          </w:p>
        </w:tc>
      </w:tr>
    </w:tbl>
    <w:p>
      <w:pPr>
        <w:rPr>
          <w:rFonts w:hint="eastAsia" w:ascii="宋体" w:hAnsi="宋体" w:eastAsia="宋体" w:cs="宋体"/>
          <w:sz w:val="24"/>
          <w:szCs w:val="24"/>
        </w:rPr>
        <w:sectPr>
          <w:footerReference r:id="rId3" w:type="default"/>
          <w:pgSz w:w="11906" w:h="16838"/>
          <w:pgMar w:top="1440" w:right="1800" w:bottom="1440" w:left="1800" w:header="851" w:footer="992" w:gutter="0"/>
          <w:pgNumType w:fmt="decimal"/>
          <w:cols w:space="425" w:num="1"/>
          <w:docGrid w:type="lines" w:linePitch="312" w:charSpace="0"/>
        </w:sectPr>
      </w:pPr>
      <w:bookmarkStart w:id="4" w:name="_Toc28866"/>
    </w:p>
    <w:p>
      <w:pPr>
        <w:pStyle w:val="5"/>
        <w:numPr>
          <w:ilvl w:val="0"/>
          <w:numId w:val="0"/>
        </w:numPr>
        <w:rPr>
          <w:rFonts w:hint="eastAsia" w:ascii="宋体" w:hAnsi="宋体" w:eastAsia="宋体" w:cs="宋体"/>
          <w:sz w:val="24"/>
          <w:szCs w:val="24"/>
        </w:rPr>
      </w:pPr>
      <w:r>
        <w:rPr>
          <w:rFonts w:hint="eastAsia"/>
          <w:lang w:val="en-US" w:eastAsia="zh-CN"/>
        </w:rPr>
        <w:t>二、</w:t>
      </w:r>
      <w:r>
        <w:t>技术要求（以下内容不允许负偏离）</w:t>
      </w:r>
      <w:bookmarkEnd w:id="4"/>
    </w:p>
    <w:p>
      <w:pPr>
        <w:pStyle w:val="17"/>
        <w:keepNext w:val="0"/>
        <w:keepLines w:val="0"/>
        <w:widowControl/>
        <w:suppressLineNumbers w:val="0"/>
        <w:rPr>
          <w:rFonts w:hint="eastAsia"/>
          <w:lang w:val="en-US" w:eastAsia="zh-CN"/>
        </w:rPr>
      </w:pPr>
      <w:r>
        <w:rPr>
          <w:rFonts w:hint="eastAsia"/>
          <w:lang w:val="en-US" w:eastAsia="zh-CN"/>
        </w:rPr>
        <w:t>包1：</w:t>
      </w:r>
    </w:p>
    <w:tbl>
      <w:tblPr>
        <w:tblStyle w:val="19"/>
        <w:tblpPr w:leftFromText="180" w:rightFromText="180" w:vertAnchor="text" w:horzAnchor="page" w:tblpXSpec="center" w:tblpY="81"/>
        <w:tblOverlap w:val="never"/>
        <w:tblW w:w="437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0"/>
        <w:gridCol w:w="1437"/>
        <w:gridCol w:w="4158"/>
        <w:gridCol w:w="11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jc w:val="center"/>
        </w:trPr>
        <w:tc>
          <w:tcPr>
            <w:tcW w:w="449" w:type="pct"/>
            <w:noWrap w:val="0"/>
            <w:vAlign w:val="center"/>
          </w:tcPr>
          <w:p>
            <w:pPr>
              <w:jc w:val="center"/>
              <w:rPr>
                <w:b w:val="0"/>
                <w:bCs/>
                <w:sz w:val="21"/>
                <w:szCs w:val="21"/>
              </w:rPr>
            </w:pPr>
            <w:r>
              <w:rPr>
                <w:rFonts w:hint="eastAsia"/>
                <w:b w:val="0"/>
                <w:bCs/>
                <w:sz w:val="21"/>
                <w:szCs w:val="21"/>
              </w:rPr>
              <w:t>序号</w:t>
            </w:r>
          </w:p>
        </w:tc>
        <w:tc>
          <w:tcPr>
            <w:tcW w:w="963" w:type="pct"/>
            <w:noWrap w:val="0"/>
            <w:vAlign w:val="center"/>
          </w:tcPr>
          <w:p>
            <w:pPr>
              <w:jc w:val="center"/>
              <w:rPr>
                <w:b w:val="0"/>
                <w:bCs/>
                <w:sz w:val="21"/>
                <w:szCs w:val="21"/>
              </w:rPr>
            </w:pPr>
            <w:r>
              <w:rPr>
                <w:rFonts w:hint="eastAsia"/>
                <w:b w:val="0"/>
                <w:bCs/>
                <w:sz w:val="21"/>
                <w:szCs w:val="21"/>
              </w:rPr>
              <w:t>设备名称</w:t>
            </w:r>
          </w:p>
        </w:tc>
        <w:tc>
          <w:tcPr>
            <w:tcW w:w="2787" w:type="pct"/>
            <w:noWrap w:val="0"/>
            <w:vAlign w:val="center"/>
          </w:tcPr>
          <w:p>
            <w:pPr>
              <w:jc w:val="center"/>
              <w:rPr>
                <w:b w:val="0"/>
                <w:bCs/>
                <w:sz w:val="21"/>
                <w:szCs w:val="21"/>
              </w:rPr>
            </w:pPr>
            <w:r>
              <w:rPr>
                <w:b w:val="0"/>
                <w:bCs/>
                <w:sz w:val="21"/>
                <w:szCs w:val="21"/>
              </w:rPr>
              <w:t>参数</w:t>
            </w:r>
          </w:p>
        </w:tc>
        <w:tc>
          <w:tcPr>
            <w:tcW w:w="799" w:type="pct"/>
            <w:noWrap w:val="0"/>
            <w:vAlign w:val="center"/>
          </w:tcPr>
          <w:p>
            <w:pPr>
              <w:jc w:val="center"/>
              <w:rPr>
                <w:b w:val="0"/>
                <w:bCs/>
                <w:sz w:val="21"/>
                <w:szCs w:val="21"/>
              </w:rPr>
            </w:pPr>
            <w:r>
              <w:rPr>
                <w:rFonts w:hint="eastAsia"/>
                <w:b w:val="0"/>
                <w:bCs/>
                <w:sz w:val="21"/>
                <w:szCs w:val="21"/>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0" w:hRule="atLeast"/>
          <w:jc w:val="center"/>
        </w:trPr>
        <w:tc>
          <w:tcPr>
            <w:tcW w:w="449" w:type="pct"/>
            <w:noWrap w:val="0"/>
            <w:vAlign w:val="center"/>
          </w:tcPr>
          <w:p>
            <w:pPr>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w:t>
            </w:r>
          </w:p>
        </w:tc>
        <w:tc>
          <w:tcPr>
            <w:tcW w:w="963" w:type="pct"/>
            <w:noWrap w:val="0"/>
            <w:vAlign w:val="center"/>
          </w:tcPr>
          <w:p>
            <w:pPr>
              <w:jc w:val="center"/>
              <w:rPr>
                <w:rFonts w:hint="eastAsia"/>
                <w:b w:val="0"/>
                <w:bCs/>
                <w:sz w:val="21"/>
                <w:szCs w:val="21"/>
                <w:lang w:val="en-US" w:eastAsia="zh-CN"/>
              </w:rPr>
            </w:pPr>
            <w:r>
              <w:rPr>
                <w:rFonts w:hint="eastAsia"/>
                <w:b w:val="0"/>
                <w:bCs/>
                <w:sz w:val="21"/>
                <w:szCs w:val="21"/>
                <w:lang w:val="en-US" w:eastAsia="zh-CN"/>
              </w:rPr>
              <w:t>智能门卫-进门</w:t>
            </w:r>
          </w:p>
        </w:tc>
        <w:tc>
          <w:tcPr>
            <w:tcW w:w="2787" w:type="pct"/>
            <w:noWrap w:val="0"/>
            <w:vAlign w:val="center"/>
          </w:tcPr>
          <w:p>
            <w:pPr>
              <w:jc w:val="both"/>
              <w:rPr>
                <w:rFonts w:hint="eastAsia"/>
                <w:b w:val="0"/>
                <w:bCs/>
                <w:sz w:val="21"/>
                <w:szCs w:val="21"/>
                <w:lang w:val="en-US" w:eastAsia="zh-CN"/>
              </w:rPr>
            </w:pPr>
            <w:r>
              <w:rPr>
                <w:rFonts w:hint="eastAsia"/>
                <w:b w:val="0"/>
                <w:bCs/>
                <w:sz w:val="21"/>
                <w:szCs w:val="21"/>
                <w:lang w:val="en-US" w:eastAsia="zh-CN"/>
              </w:rPr>
              <w:t>航空级铝合金材质；高强度钢化玻璃；8核处理器；定制Android系统；8英寸SOCA全贴合工艺显示屏，多点触摸；支持以太网、WIFI2.4G；双目摄像头，支持活体检测；IP65防尘放水等级；内置矩阵成像测温；身份证识别；人证比对；语音交互；补光灯；</w:t>
            </w:r>
          </w:p>
        </w:tc>
        <w:tc>
          <w:tcPr>
            <w:tcW w:w="799" w:type="pct"/>
            <w:noWrap w:val="0"/>
            <w:vAlign w:val="center"/>
          </w:tcPr>
          <w:p>
            <w:pPr>
              <w:jc w:val="center"/>
              <w:rPr>
                <w:rFonts w:hint="eastAsia"/>
                <w:b w:val="0"/>
                <w:bCs/>
                <w:sz w:val="21"/>
                <w:szCs w:val="21"/>
                <w:lang w:val="en-US" w:eastAsia="zh-CN"/>
              </w:rPr>
            </w:pPr>
            <w:r>
              <w:rPr>
                <w:rFonts w:hint="eastAsia"/>
                <w:b w:val="0"/>
                <w:bCs/>
                <w:sz w:val="21"/>
                <w:szCs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12" w:hRule="atLeast"/>
          <w:jc w:val="center"/>
        </w:trPr>
        <w:tc>
          <w:tcPr>
            <w:tcW w:w="449" w:type="pct"/>
            <w:noWrap w:val="0"/>
            <w:vAlign w:val="center"/>
          </w:tcPr>
          <w:p>
            <w:pPr>
              <w:jc w:val="center"/>
              <w:rPr>
                <w:rFonts w:hint="eastAsia" w:ascii="宋体" w:hAnsi="宋体" w:eastAsia="宋体" w:cs="宋体"/>
                <w:b w:val="0"/>
                <w:bCs/>
                <w:sz w:val="21"/>
                <w:szCs w:val="21"/>
                <w:lang w:eastAsia="zh-CN"/>
              </w:rPr>
            </w:pPr>
            <w:r>
              <w:rPr>
                <w:rFonts w:hint="eastAsia" w:ascii="宋体" w:hAnsi="宋体" w:eastAsia="宋体" w:cs="宋体"/>
                <w:b w:val="0"/>
                <w:bCs/>
                <w:sz w:val="21"/>
                <w:szCs w:val="21"/>
                <w:lang w:val="en-US" w:eastAsia="zh-CN"/>
              </w:rPr>
              <w:t>2</w:t>
            </w:r>
          </w:p>
        </w:tc>
        <w:tc>
          <w:tcPr>
            <w:tcW w:w="963" w:type="pct"/>
            <w:noWrap w:val="0"/>
            <w:vAlign w:val="center"/>
          </w:tcPr>
          <w:p>
            <w:pPr>
              <w:jc w:val="center"/>
              <w:rPr>
                <w:rFonts w:hint="eastAsia"/>
                <w:b w:val="0"/>
                <w:bCs/>
                <w:sz w:val="21"/>
                <w:szCs w:val="21"/>
              </w:rPr>
            </w:pPr>
            <w:r>
              <w:rPr>
                <w:rFonts w:hint="eastAsia"/>
                <w:b w:val="0"/>
                <w:bCs/>
                <w:sz w:val="21"/>
                <w:szCs w:val="21"/>
                <w:lang w:val="en-US" w:eastAsia="zh-CN"/>
              </w:rPr>
              <w:t>智能门卫-出门</w:t>
            </w:r>
          </w:p>
        </w:tc>
        <w:tc>
          <w:tcPr>
            <w:tcW w:w="2787" w:type="pct"/>
            <w:noWrap w:val="0"/>
            <w:vAlign w:val="center"/>
          </w:tcPr>
          <w:p>
            <w:pPr>
              <w:jc w:val="both"/>
              <w:rPr>
                <w:rFonts w:hint="eastAsia"/>
                <w:b w:val="0"/>
                <w:bCs/>
                <w:sz w:val="21"/>
                <w:szCs w:val="21"/>
                <w:lang w:val="en-US" w:eastAsia="zh-CN"/>
              </w:rPr>
            </w:pPr>
            <w:r>
              <w:rPr>
                <w:rFonts w:hint="eastAsia"/>
                <w:b w:val="0"/>
                <w:bCs/>
                <w:sz w:val="21"/>
                <w:szCs w:val="21"/>
                <w:lang w:val="en-US" w:eastAsia="zh-CN"/>
              </w:rPr>
              <w:t>航空级铝合金材质；高强度钢化玻璃；8核处理器；定制Android系统；8英寸SOCA全贴合工艺显示屏，多点触摸；支持以太网、WIFI2.4G；双目摄像头，支持活体检测；IP65防尘放水等级；</w:t>
            </w:r>
          </w:p>
        </w:tc>
        <w:tc>
          <w:tcPr>
            <w:tcW w:w="799" w:type="pct"/>
            <w:noWrap w:val="0"/>
            <w:vAlign w:val="center"/>
          </w:tcPr>
          <w:p>
            <w:pPr>
              <w:jc w:val="center"/>
              <w:rPr>
                <w:rFonts w:hint="eastAsia"/>
                <w:b w:val="0"/>
                <w:bCs/>
                <w:sz w:val="21"/>
                <w:szCs w:val="21"/>
                <w:lang w:val="en-US" w:eastAsia="zh-CN"/>
              </w:rPr>
            </w:pPr>
            <w:r>
              <w:rPr>
                <w:rFonts w:hint="eastAsia"/>
                <w:b w:val="0"/>
                <w:bCs/>
                <w:sz w:val="21"/>
                <w:szCs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5" w:hRule="atLeast"/>
          <w:jc w:val="center"/>
        </w:trPr>
        <w:tc>
          <w:tcPr>
            <w:tcW w:w="449" w:type="pct"/>
            <w:noWrap w:val="0"/>
            <w:vAlign w:val="center"/>
          </w:tcPr>
          <w:p>
            <w:pPr>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3</w:t>
            </w:r>
          </w:p>
        </w:tc>
        <w:tc>
          <w:tcPr>
            <w:tcW w:w="963" w:type="pct"/>
            <w:noWrap w:val="0"/>
            <w:vAlign w:val="center"/>
          </w:tcPr>
          <w:p>
            <w:pPr>
              <w:jc w:val="center"/>
              <w:rPr>
                <w:rFonts w:hint="eastAsia"/>
                <w:b w:val="0"/>
                <w:bCs/>
                <w:sz w:val="21"/>
                <w:szCs w:val="21"/>
              </w:rPr>
            </w:pPr>
            <w:r>
              <w:rPr>
                <w:rFonts w:hint="eastAsia"/>
                <w:b w:val="0"/>
                <w:bCs/>
                <w:sz w:val="21"/>
                <w:szCs w:val="21"/>
                <w:lang w:val="en-US" w:eastAsia="zh-CN"/>
              </w:rPr>
              <w:t>智能门卫-保安</w:t>
            </w:r>
          </w:p>
        </w:tc>
        <w:tc>
          <w:tcPr>
            <w:tcW w:w="2787" w:type="pct"/>
            <w:noWrap w:val="0"/>
            <w:vAlign w:val="center"/>
          </w:tcPr>
          <w:p>
            <w:pPr>
              <w:jc w:val="both"/>
              <w:rPr>
                <w:rFonts w:hint="eastAsia"/>
                <w:b w:val="0"/>
                <w:bCs/>
                <w:sz w:val="21"/>
                <w:szCs w:val="21"/>
                <w:lang w:val="en-US" w:eastAsia="zh-CN"/>
              </w:rPr>
            </w:pPr>
            <w:r>
              <w:rPr>
                <w:rFonts w:hint="eastAsia"/>
                <w:b w:val="0"/>
                <w:bCs/>
                <w:sz w:val="21"/>
                <w:szCs w:val="21"/>
                <w:lang w:val="en-US" w:eastAsia="zh-CN"/>
              </w:rPr>
              <w:t>L型立式一体机；4核处理器；2G运行内存；16G存储；高清摄像头；高清IPS屏幕；定制Android系统；多点触摸</w:t>
            </w:r>
          </w:p>
        </w:tc>
        <w:tc>
          <w:tcPr>
            <w:tcW w:w="799" w:type="pct"/>
            <w:noWrap w:val="0"/>
            <w:vAlign w:val="center"/>
          </w:tcPr>
          <w:p>
            <w:pPr>
              <w:jc w:val="center"/>
              <w:rPr>
                <w:rFonts w:hint="eastAsia"/>
                <w:b w:val="0"/>
                <w:bCs/>
                <w:sz w:val="21"/>
                <w:szCs w:val="21"/>
                <w:lang w:val="en-US" w:eastAsia="zh-CN"/>
              </w:rPr>
            </w:pPr>
            <w:r>
              <w:rPr>
                <w:rFonts w:hint="eastAsia"/>
                <w:b w:val="0"/>
                <w:bCs/>
                <w:sz w:val="21"/>
                <w:szCs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0" w:hRule="atLeast"/>
          <w:jc w:val="center"/>
        </w:trPr>
        <w:tc>
          <w:tcPr>
            <w:tcW w:w="449" w:type="pct"/>
            <w:noWrap w:val="0"/>
            <w:vAlign w:val="center"/>
          </w:tcPr>
          <w:p>
            <w:pPr>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4</w:t>
            </w:r>
          </w:p>
        </w:tc>
        <w:tc>
          <w:tcPr>
            <w:tcW w:w="963" w:type="pct"/>
            <w:noWrap w:val="0"/>
            <w:vAlign w:val="center"/>
          </w:tcPr>
          <w:p>
            <w:pPr>
              <w:jc w:val="center"/>
              <w:rPr>
                <w:rFonts w:hint="eastAsia"/>
                <w:b w:val="0"/>
                <w:bCs/>
                <w:sz w:val="21"/>
                <w:szCs w:val="21"/>
              </w:rPr>
            </w:pPr>
            <w:r>
              <w:rPr>
                <w:rFonts w:hint="eastAsia"/>
                <w:b w:val="0"/>
                <w:bCs/>
                <w:sz w:val="21"/>
                <w:szCs w:val="21"/>
                <w:lang w:val="en-US" w:eastAsia="zh-CN"/>
              </w:rPr>
              <w:t>智能门卫软件</w:t>
            </w:r>
          </w:p>
        </w:tc>
        <w:tc>
          <w:tcPr>
            <w:tcW w:w="2787" w:type="pct"/>
            <w:noWrap w:val="0"/>
            <w:vAlign w:val="center"/>
          </w:tcPr>
          <w:p>
            <w:pPr>
              <w:jc w:val="both"/>
              <w:rPr>
                <w:rFonts w:hint="eastAsia"/>
                <w:b w:val="0"/>
                <w:bCs/>
                <w:sz w:val="21"/>
                <w:szCs w:val="21"/>
                <w:lang w:val="en-US" w:eastAsia="zh-CN"/>
              </w:rPr>
            </w:pPr>
            <w:r>
              <w:rPr>
                <w:rFonts w:hint="eastAsia"/>
                <w:b w:val="0"/>
                <w:bCs/>
                <w:sz w:val="21"/>
                <w:szCs w:val="21"/>
                <w:lang w:val="en-US" w:eastAsia="zh-CN"/>
              </w:rPr>
              <w:t>二代身份证识别功能；条码识别功能；黑/白名单管理功能；进出查询、统计功能；数据导出和导入功能。</w:t>
            </w:r>
          </w:p>
        </w:tc>
        <w:tc>
          <w:tcPr>
            <w:tcW w:w="799" w:type="pct"/>
            <w:noWrap w:val="0"/>
            <w:vAlign w:val="center"/>
          </w:tcPr>
          <w:p>
            <w:pPr>
              <w:jc w:val="center"/>
              <w:rPr>
                <w:rFonts w:hint="eastAsia"/>
                <w:b w:val="0"/>
                <w:bCs/>
                <w:sz w:val="21"/>
                <w:szCs w:val="21"/>
                <w:lang w:val="en-US" w:eastAsia="zh-CN"/>
              </w:rPr>
            </w:pPr>
            <w:r>
              <w:rPr>
                <w:rFonts w:hint="eastAsia"/>
                <w:b w:val="0"/>
                <w:bCs/>
                <w:sz w:val="21"/>
                <w:szCs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46" w:hRule="atLeast"/>
          <w:jc w:val="center"/>
        </w:trPr>
        <w:tc>
          <w:tcPr>
            <w:tcW w:w="449" w:type="pct"/>
            <w:noWrap w:val="0"/>
            <w:vAlign w:val="center"/>
          </w:tcPr>
          <w:p>
            <w:pPr>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5</w:t>
            </w:r>
          </w:p>
        </w:tc>
        <w:tc>
          <w:tcPr>
            <w:tcW w:w="963" w:type="pct"/>
            <w:noWrap w:val="0"/>
            <w:vAlign w:val="center"/>
          </w:tcPr>
          <w:p>
            <w:pPr>
              <w:jc w:val="center"/>
              <w:rPr>
                <w:rFonts w:hint="eastAsia"/>
                <w:b w:val="0"/>
                <w:bCs/>
                <w:sz w:val="21"/>
                <w:szCs w:val="21"/>
                <w:lang w:val="en-US" w:eastAsia="zh-CN"/>
              </w:rPr>
            </w:pPr>
            <w:r>
              <w:rPr>
                <w:rFonts w:hint="eastAsia"/>
                <w:b w:val="0"/>
                <w:bCs/>
                <w:sz w:val="21"/>
                <w:szCs w:val="21"/>
                <w:lang w:val="en-US" w:eastAsia="zh-CN"/>
              </w:rPr>
              <w:t>门禁电插锁</w:t>
            </w:r>
          </w:p>
        </w:tc>
        <w:tc>
          <w:tcPr>
            <w:tcW w:w="2787" w:type="pct"/>
            <w:noWrap w:val="0"/>
            <w:vAlign w:val="center"/>
          </w:tcPr>
          <w:p>
            <w:pPr>
              <w:jc w:val="both"/>
              <w:rPr>
                <w:rFonts w:hint="eastAsia"/>
                <w:b w:val="0"/>
                <w:bCs/>
                <w:sz w:val="21"/>
                <w:szCs w:val="21"/>
                <w:lang w:val="en-US" w:eastAsia="zh-CN"/>
              </w:rPr>
            </w:pPr>
            <w:r>
              <w:rPr>
                <w:rFonts w:hint="eastAsia"/>
                <w:b w:val="0"/>
                <w:bCs/>
                <w:sz w:val="21"/>
                <w:szCs w:val="21"/>
                <w:lang w:val="en-US" w:eastAsia="zh-CN"/>
              </w:rPr>
              <w:t>工作电压：12-24VDC   工作电流：普通（450mA）；低温（900mA)</w:t>
            </w:r>
            <w:r>
              <w:rPr>
                <w:rFonts w:hint="eastAsia"/>
                <w:b w:val="0"/>
                <w:bCs/>
                <w:sz w:val="21"/>
                <w:szCs w:val="21"/>
                <w:lang w:val="en-US" w:eastAsia="zh-CN"/>
              </w:rPr>
              <w:br w:type="textWrapping"/>
            </w:r>
            <w:r>
              <w:rPr>
                <w:rFonts w:hint="eastAsia"/>
                <w:b w:val="0"/>
                <w:bCs/>
                <w:sz w:val="21"/>
                <w:szCs w:val="21"/>
                <w:lang w:val="en-US" w:eastAsia="zh-CN"/>
              </w:rPr>
              <w:t xml:space="preserve">圈线类型：连续工作型 </w:t>
            </w:r>
            <w:r>
              <w:rPr>
                <w:rFonts w:hint="eastAsia"/>
                <w:b w:val="0"/>
                <w:bCs/>
                <w:sz w:val="21"/>
                <w:szCs w:val="21"/>
                <w:lang w:val="en-US" w:eastAsia="zh-CN"/>
              </w:rPr>
              <w:br w:type="textWrapping"/>
            </w:r>
            <w:r>
              <w:rPr>
                <w:rFonts w:hint="eastAsia"/>
                <w:b w:val="0"/>
                <w:bCs/>
                <w:sz w:val="21"/>
                <w:szCs w:val="21"/>
                <w:lang w:val="en-US" w:eastAsia="zh-CN"/>
              </w:rPr>
              <w:t>上锁方式：磁感应</w:t>
            </w:r>
            <w:r>
              <w:rPr>
                <w:rFonts w:hint="eastAsia"/>
                <w:b w:val="0"/>
                <w:bCs/>
                <w:sz w:val="21"/>
                <w:szCs w:val="21"/>
                <w:lang w:val="en-US" w:eastAsia="zh-CN"/>
              </w:rPr>
              <w:br w:type="textWrapping"/>
            </w:r>
            <w:r>
              <w:rPr>
                <w:rFonts w:hint="eastAsia"/>
                <w:b w:val="0"/>
                <w:bCs/>
                <w:sz w:val="21"/>
                <w:szCs w:val="21"/>
                <w:lang w:val="en-US" w:eastAsia="zh-CN"/>
              </w:rPr>
              <w:t>安全类型：通电上锁，断电开锁</w:t>
            </w:r>
            <w:r>
              <w:rPr>
                <w:rFonts w:hint="eastAsia"/>
                <w:b w:val="0"/>
                <w:bCs/>
                <w:sz w:val="21"/>
                <w:szCs w:val="21"/>
                <w:lang w:val="en-US" w:eastAsia="zh-CN"/>
              </w:rPr>
              <w:br w:type="textWrapping"/>
            </w:r>
            <w:r>
              <w:rPr>
                <w:rFonts w:hint="eastAsia"/>
                <w:b w:val="0"/>
                <w:bCs/>
                <w:sz w:val="21"/>
                <w:szCs w:val="21"/>
                <w:lang w:val="en-US" w:eastAsia="zh-CN"/>
              </w:rPr>
              <w:t>锁芯：直径15MM不锈钢锁芯，长处长度15MM</w:t>
            </w:r>
          </w:p>
        </w:tc>
        <w:tc>
          <w:tcPr>
            <w:tcW w:w="799" w:type="pct"/>
            <w:noWrap w:val="0"/>
            <w:vAlign w:val="center"/>
          </w:tcPr>
          <w:p>
            <w:pPr>
              <w:jc w:val="center"/>
              <w:rPr>
                <w:rFonts w:hint="eastAsia"/>
                <w:b w:val="0"/>
                <w:bCs/>
                <w:sz w:val="21"/>
                <w:szCs w:val="21"/>
                <w:lang w:val="en-US" w:eastAsia="zh-CN"/>
              </w:rPr>
            </w:pPr>
            <w:r>
              <w:rPr>
                <w:rFonts w:hint="eastAsia"/>
                <w:b w:val="0"/>
                <w:bCs/>
                <w:sz w:val="21"/>
                <w:szCs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2" w:hRule="atLeast"/>
          <w:jc w:val="center"/>
        </w:trPr>
        <w:tc>
          <w:tcPr>
            <w:tcW w:w="449" w:type="pct"/>
            <w:noWrap w:val="0"/>
            <w:vAlign w:val="center"/>
          </w:tcPr>
          <w:p>
            <w:pPr>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6</w:t>
            </w:r>
          </w:p>
        </w:tc>
        <w:tc>
          <w:tcPr>
            <w:tcW w:w="963" w:type="pct"/>
            <w:noWrap w:val="0"/>
            <w:vAlign w:val="center"/>
          </w:tcPr>
          <w:p>
            <w:pPr>
              <w:jc w:val="center"/>
              <w:rPr>
                <w:rFonts w:hint="eastAsia"/>
                <w:b w:val="0"/>
                <w:bCs/>
                <w:sz w:val="21"/>
                <w:szCs w:val="21"/>
                <w:lang w:val="en-US" w:eastAsia="zh-CN"/>
              </w:rPr>
            </w:pPr>
            <w:r>
              <w:rPr>
                <w:rFonts w:hint="eastAsia"/>
                <w:b w:val="0"/>
                <w:bCs/>
                <w:sz w:val="21"/>
                <w:szCs w:val="21"/>
                <w:lang w:val="en-US" w:eastAsia="zh-CN"/>
              </w:rPr>
              <w:t>不锈钢玻璃门</w:t>
            </w:r>
          </w:p>
        </w:tc>
        <w:tc>
          <w:tcPr>
            <w:tcW w:w="2787" w:type="pct"/>
            <w:noWrap w:val="0"/>
            <w:vAlign w:val="center"/>
          </w:tcPr>
          <w:p>
            <w:pPr>
              <w:jc w:val="both"/>
              <w:rPr>
                <w:rFonts w:hint="eastAsia"/>
                <w:b w:val="0"/>
                <w:bCs/>
                <w:sz w:val="21"/>
                <w:szCs w:val="21"/>
                <w:lang w:val="en-US" w:eastAsia="zh-CN"/>
              </w:rPr>
            </w:pPr>
            <w:r>
              <w:rPr>
                <w:rFonts w:hint="eastAsia"/>
                <w:b w:val="0"/>
                <w:bCs/>
                <w:sz w:val="21"/>
                <w:szCs w:val="21"/>
                <w:lang w:val="en-US" w:eastAsia="zh-CN"/>
              </w:rPr>
              <w:t>1、5.07²玫瑰金不锈钢材质玻璃大门</w:t>
            </w:r>
            <w:r>
              <w:rPr>
                <w:rFonts w:hint="eastAsia"/>
                <w:b w:val="0"/>
                <w:bCs/>
                <w:sz w:val="21"/>
                <w:szCs w:val="21"/>
                <w:lang w:val="en-US" w:eastAsia="zh-CN"/>
              </w:rPr>
              <w:br w:type="textWrapping"/>
            </w:r>
            <w:r>
              <w:rPr>
                <w:rFonts w:hint="eastAsia"/>
                <w:b w:val="0"/>
                <w:bCs/>
                <w:sz w:val="21"/>
                <w:szCs w:val="21"/>
                <w:lang w:val="en-US" w:eastAsia="zh-CN"/>
              </w:rPr>
              <w:t>2、自动闭门器1套</w:t>
            </w:r>
            <w:r>
              <w:rPr>
                <w:rFonts w:hint="eastAsia"/>
                <w:b w:val="0"/>
                <w:bCs/>
                <w:sz w:val="21"/>
                <w:szCs w:val="21"/>
                <w:lang w:val="en-US" w:eastAsia="zh-CN"/>
              </w:rPr>
              <w:br w:type="textWrapping"/>
            </w:r>
            <w:r>
              <w:rPr>
                <w:rFonts w:hint="eastAsia"/>
                <w:b w:val="0"/>
                <w:bCs/>
                <w:sz w:val="21"/>
                <w:szCs w:val="21"/>
                <w:lang w:val="en-US" w:eastAsia="zh-CN"/>
              </w:rPr>
              <w:t>3、不锈钢门框双包套</w:t>
            </w:r>
          </w:p>
        </w:tc>
        <w:tc>
          <w:tcPr>
            <w:tcW w:w="799" w:type="pct"/>
            <w:noWrap w:val="0"/>
            <w:vAlign w:val="center"/>
          </w:tcPr>
          <w:p>
            <w:pPr>
              <w:jc w:val="center"/>
              <w:rPr>
                <w:rFonts w:hint="eastAsia"/>
                <w:b w:val="0"/>
                <w:bCs/>
                <w:sz w:val="21"/>
                <w:szCs w:val="21"/>
                <w:lang w:val="en-US" w:eastAsia="zh-CN"/>
              </w:rPr>
            </w:pPr>
            <w:r>
              <w:rPr>
                <w:rFonts w:hint="eastAsia"/>
                <w:b w:val="0"/>
                <w:bCs/>
                <w:sz w:val="21"/>
                <w:szCs w:val="21"/>
                <w:lang w:val="en-US" w:eastAsia="zh-CN"/>
              </w:rPr>
              <w:t>1</w:t>
            </w:r>
          </w:p>
        </w:tc>
      </w:tr>
    </w:tbl>
    <w:p>
      <w:pPr>
        <w:pStyle w:val="17"/>
        <w:keepNext w:val="0"/>
        <w:keepLines w:val="0"/>
        <w:widowControl/>
        <w:suppressLineNumbers w:val="0"/>
        <w:rPr>
          <w:rFonts w:hint="eastAsia"/>
          <w:lang w:val="en-US" w:eastAsia="zh-CN"/>
        </w:rPr>
      </w:pPr>
    </w:p>
    <w:p>
      <w:pPr>
        <w:pStyle w:val="17"/>
        <w:keepNext w:val="0"/>
        <w:keepLines w:val="0"/>
        <w:widowControl/>
        <w:suppressLineNumbers w:val="0"/>
        <w:rPr>
          <w:rFonts w:hint="eastAsia"/>
          <w:lang w:val="en-US" w:eastAsia="zh-CN"/>
        </w:rPr>
      </w:pPr>
    </w:p>
    <w:p>
      <w:pPr>
        <w:rPr>
          <w:rFonts w:hint="eastAsia"/>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lang w:val="en-US" w:eastAsia="zh-CN"/>
        </w:rPr>
        <w:br w:type="page"/>
      </w:r>
    </w:p>
    <w:p>
      <w:pPr>
        <w:pStyle w:val="5"/>
        <w:numPr>
          <w:ilvl w:val="0"/>
          <w:numId w:val="0"/>
        </w:numPr>
        <w:rPr>
          <w:rFonts w:hint="eastAsia"/>
          <w:lang w:val="en-US" w:eastAsia="zh-CN"/>
        </w:rPr>
      </w:pPr>
      <w:r>
        <w:rPr>
          <w:rFonts w:hint="eastAsia"/>
          <w:lang w:val="en-US" w:eastAsia="zh-CN"/>
        </w:rPr>
        <w:t>三、商务条件（以下内容不允许负偏离，否则按无效标处理）</w:t>
      </w:r>
    </w:p>
    <w:p>
      <w:pPr>
        <w:spacing w:line="400" w:lineRule="exac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包：1</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1、交付地点：沙县融媒体中心大楼</w:t>
      </w:r>
    </w:p>
    <w:p>
      <w:pPr>
        <w:spacing w:line="400" w:lineRule="exact"/>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2、工期：合同签定15日内安装调试完毕</w:t>
      </w:r>
    </w:p>
    <w:p>
      <w:pPr>
        <w:spacing w:line="400" w:lineRule="exac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3、交付条件：按合同约定</w:t>
      </w:r>
      <w:r>
        <w:rPr>
          <w:rFonts w:hint="eastAsia" w:ascii="宋体" w:hAnsi="宋体" w:eastAsia="宋体" w:cs="宋体"/>
          <w:kern w:val="0"/>
          <w:sz w:val="24"/>
          <w:szCs w:val="24"/>
          <w:lang w:val="en-US" w:eastAsia="zh-CN" w:bidi="ar-SA"/>
        </w:rPr>
        <w:br w:type="textWrapping"/>
      </w:r>
      <w:r>
        <w:rPr>
          <w:rFonts w:hint="eastAsia" w:ascii="宋体" w:hAnsi="宋体" w:eastAsia="宋体" w:cs="宋体"/>
          <w:kern w:val="0"/>
          <w:sz w:val="24"/>
          <w:szCs w:val="24"/>
          <w:lang w:val="en-US" w:eastAsia="zh-CN" w:bidi="ar-SA"/>
        </w:rPr>
        <w:t>4、是否收取履约保证金：否</w:t>
      </w:r>
    </w:p>
    <w:p>
      <w:pPr>
        <w:spacing w:line="400" w:lineRule="exac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5、是否邀请投标人参与验收：否</w:t>
      </w:r>
    </w:p>
    <w:p>
      <w:pPr>
        <w:spacing w:line="400" w:lineRule="exac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xml:space="preserve">6、验收方式数据表格 </w:t>
      </w:r>
    </w:p>
    <w:tbl>
      <w:tblPr>
        <w:tblStyle w:val="18"/>
        <w:tblW w:w="5001" w:type="pct"/>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664"/>
        <w:gridCol w:w="6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482" w:hRule="atLeast"/>
          <w:tblHeader/>
          <w:tblCellSpacing w:w="0" w:type="dxa"/>
        </w:trPr>
        <w:tc>
          <w:tcPr>
            <w:tcW w:w="999" w:type="pct"/>
            <w:shd w:val="clear" w:color="auto" w:fill="auto"/>
            <w:vAlign w:val="center"/>
          </w:tcPr>
          <w:p>
            <w:pPr>
              <w:keepNext w:val="0"/>
              <w:keepLines w:val="0"/>
              <w:widowControl/>
              <w:suppressLineNumbers w:val="0"/>
              <w:ind w:firstLine="240" w:firstLineChars="100"/>
              <w:jc w:val="left"/>
              <w:rPr>
                <w:u w:val="none"/>
              </w:rPr>
            </w:pPr>
            <w:r>
              <w:rPr>
                <w:rFonts w:ascii="宋体" w:hAnsi="宋体" w:eastAsia="宋体" w:cs="宋体"/>
                <w:kern w:val="0"/>
                <w:sz w:val="24"/>
                <w:szCs w:val="24"/>
                <w:u w:val="none"/>
                <w:lang w:val="en-US" w:eastAsia="zh-CN" w:bidi="ar"/>
              </w:rPr>
              <w:t>验收期次</w:t>
            </w:r>
          </w:p>
        </w:tc>
        <w:tc>
          <w:tcPr>
            <w:tcW w:w="4000" w:type="pct"/>
            <w:shd w:val="clear" w:color="auto" w:fill="auto"/>
            <w:vAlign w:val="center"/>
          </w:tcPr>
          <w:p>
            <w:pPr>
              <w:keepNext w:val="0"/>
              <w:keepLines w:val="0"/>
              <w:widowControl/>
              <w:suppressLineNumbers w:val="0"/>
              <w:ind w:firstLine="720" w:firstLineChars="300"/>
              <w:jc w:val="left"/>
              <w:rPr>
                <w:u w:val="none"/>
              </w:rPr>
            </w:pPr>
            <w:r>
              <w:rPr>
                <w:rFonts w:ascii="宋体" w:hAnsi="宋体" w:eastAsia="宋体" w:cs="宋体"/>
                <w:kern w:val="0"/>
                <w:sz w:val="24"/>
                <w:szCs w:val="24"/>
                <w:u w:val="none"/>
                <w:lang w:val="en-US" w:eastAsia="zh-CN" w:bidi="ar"/>
              </w:rPr>
              <w:t>验收期次说明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82" w:hRule="atLeast"/>
          <w:tblCellSpacing w:w="0" w:type="dxa"/>
        </w:trPr>
        <w:tc>
          <w:tcPr>
            <w:tcW w:w="0" w:type="auto"/>
            <w:shd w:val="clear" w:color="auto" w:fill="auto"/>
            <w:vAlign w:val="center"/>
          </w:tcPr>
          <w:p>
            <w:pPr>
              <w:keepNext w:val="0"/>
              <w:keepLines w:val="0"/>
              <w:widowControl/>
              <w:suppressLineNumbers w:val="0"/>
              <w:ind w:firstLine="480" w:firstLineChars="200"/>
              <w:jc w:val="left"/>
              <w:rPr>
                <w:rFonts w:hint="eastAsia" w:ascii="宋体" w:hAnsi="宋体" w:eastAsia="宋体" w:cs="宋体"/>
                <w:kern w:val="0"/>
                <w:sz w:val="24"/>
                <w:szCs w:val="24"/>
                <w:u w:val="none"/>
                <w:lang w:val="en-US" w:eastAsia="zh-CN" w:bidi="ar"/>
              </w:rPr>
            </w:pPr>
            <w:r>
              <w:rPr>
                <w:rFonts w:hint="eastAsia" w:ascii="宋体" w:hAnsi="宋体" w:eastAsia="宋体" w:cs="宋体"/>
                <w:kern w:val="0"/>
                <w:sz w:val="24"/>
                <w:szCs w:val="24"/>
                <w:u w:val="none"/>
                <w:lang w:val="en-US" w:eastAsia="zh-CN" w:bidi="ar"/>
              </w:rPr>
              <w:t>1</w:t>
            </w:r>
          </w:p>
        </w:tc>
        <w:tc>
          <w:tcPr>
            <w:tcW w:w="0" w:type="auto"/>
            <w:shd w:val="clear" w:color="auto" w:fill="auto"/>
            <w:vAlign w:val="center"/>
          </w:tcPr>
          <w:p>
            <w:pPr>
              <w:keepNext w:val="0"/>
              <w:keepLines w:val="0"/>
              <w:widowControl/>
              <w:suppressLineNumbers w:val="0"/>
              <w:jc w:val="left"/>
              <w:rPr>
                <w:rFonts w:hint="eastAsia" w:ascii="宋体" w:hAnsi="宋体" w:eastAsia="宋体" w:cs="宋体"/>
                <w:kern w:val="0"/>
                <w:sz w:val="24"/>
                <w:szCs w:val="24"/>
                <w:u w:val="none"/>
                <w:lang w:val="en-US" w:eastAsia="zh-CN" w:bidi="ar"/>
              </w:rPr>
            </w:pPr>
            <w:r>
              <w:rPr>
                <w:rFonts w:hint="eastAsia" w:ascii="宋体" w:hAnsi="宋体" w:eastAsia="宋体" w:cs="宋体"/>
                <w:kern w:val="0"/>
                <w:sz w:val="24"/>
                <w:szCs w:val="24"/>
                <w:u w:val="none"/>
                <w:lang w:val="en-US" w:eastAsia="zh-CN" w:bidi="ar"/>
              </w:rPr>
              <w:t>质量符合招标参数要求，全部货物交货并经验收合格</w:t>
            </w:r>
          </w:p>
        </w:tc>
      </w:tr>
    </w:tbl>
    <w:p>
      <w:pPr>
        <w:pStyle w:val="17"/>
        <w:rPr>
          <w:rFonts w:hint="eastAsia"/>
          <w:lang w:val="en-US" w:eastAsia="zh-CN"/>
        </w:rPr>
      </w:pPr>
    </w:p>
    <w:p>
      <w:pPr>
        <w:pStyle w:val="17"/>
        <w:rPr>
          <w:rFonts w:hint="eastAsia"/>
          <w:lang w:val="en-US" w:eastAsia="zh-CN"/>
        </w:rPr>
      </w:pPr>
      <w:r>
        <w:rPr>
          <w:rFonts w:hint="eastAsia"/>
          <w:lang w:val="en-US" w:eastAsia="zh-CN"/>
        </w:rPr>
        <w:t xml:space="preserve">7、支付方式数据表格 </w:t>
      </w:r>
    </w:p>
    <w:tbl>
      <w:tblPr>
        <w:tblStyle w:val="18"/>
        <w:tblW w:w="0" w:type="auto"/>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65"/>
        <w:gridCol w:w="1664"/>
        <w:gridCol w:w="499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665" w:type="dxa"/>
            <w:tcBorders>
              <w:top w:val="outset" w:color="auto" w:sz="6" w:space="0"/>
              <w:left w:val="outset" w:color="auto" w:sz="6" w:space="0"/>
              <w:bottom w:val="outset" w:color="auto" w:sz="6" w:space="0"/>
              <w:right w:val="outset" w:color="auto" w:sz="6" w:space="0"/>
            </w:tcBorders>
            <w:noWrap w:val="0"/>
            <w:vAlign w:val="center"/>
          </w:tcPr>
          <w:p>
            <w:pPr>
              <w:pStyle w:val="17"/>
              <w:ind w:firstLine="480"/>
              <w:jc w:val="center"/>
              <w:rPr>
                <w:rFonts w:hint="eastAsia"/>
                <w:lang w:val="en-US" w:eastAsia="zh-CN"/>
              </w:rPr>
            </w:pPr>
            <w:r>
              <w:rPr>
                <w:rFonts w:hint="eastAsia"/>
                <w:lang w:val="en-US" w:eastAsia="zh-CN"/>
              </w:rPr>
              <w:t>支付期次</w:t>
            </w:r>
          </w:p>
        </w:tc>
        <w:tc>
          <w:tcPr>
            <w:tcW w:w="1664" w:type="dxa"/>
            <w:tcBorders>
              <w:top w:val="outset" w:color="auto" w:sz="6" w:space="0"/>
              <w:left w:val="outset" w:color="auto" w:sz="6" w:space="0"/>
              <w:bottom w:val="outset" w:color="auto" w:sz="6" w:space="0"/>
              <w:right w:val="outset" w:color="auto" w:sz="6" w:space="0"/>
            </w:tcBorders>
            <w:noWrap w:val="0"/>
            <w:vAlign w:val="center"/>
          </w:tcPr>
          <w:p>
            <w:pPr>
              <w:pStyle w:val="17"/>
              <w:jc w:val="center"/>
              <w:rPr>
                <w:rFonts w:hint="eastAsia"/>
                <w:lang w:val="en-US" w:eastAsia="zh-CN"/>
              </w:rPr>
            </w:pPr>
            <w:r>
              <w:rPr>
                <w:rFonts w:hint="eastAsia"/>
                <w:lang w:val="en-US" w:eastAsia="zh-CN"/>
              </w:rPr>
              <w:t>支付比例(%)</w:t>
            </w:r>
          </w:p>
        </w:tc>
        <w:tc>
          <w:tcPr>
            <w:tcW w:w="4993" w:type="dxa"/>
            <w:tcBorders>
              <w:top w:val="outset" w:color="auto" w:sz="6" w:space="0"/>
              <w:left w:val="outset" w:color="auto" w:sz="6" w:space="0"/>
              <w:bottom w:val="outset" w:color="auto" w:sz="6" w:space="0"/>
              <w:right w:val="outset" w:color="auto" w:sz="6" w:space="0"/>
            </w:tcBorders>
            <w:noWrap w:val="0"/>
            <w:vAlign w:val="top"/>
          </w:tcPr>
          <w:p>
            <w:pPr>
              <w:pStyle w:val="17"/>
              <w:ind w:firstLine="480"/>
              <w:rPr>
                <w:rFonts w:hint="eastAsia"/>
                <w:lang w:val="en-US" w:eastAsia="zh-CN"/>
              </w:rPr>
            </w:pPr>
            <w:r>
              <w:rPr>
                <w:rFonts w:hint="eastAsia"/>
                <w:lang w:val="en-US" w:eastAsia="zh-CN"/>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5" w:type="dxa"/>
            <w:tcBorders>
              <w:top w:val="outset" w:color="auto" w:sz="6" w:space="0"/>
              <w:left w:val="outset" w:color="auto" w:sz="6" w:space="0"/>
              <w:bottom w:val="outset" w:color="auto" w:sz="6" w:space="0"/>
              <w:right w:val="outset" w:color="auto" w:sz="6" w:space="0"/>
            </w:tcBorders>
            <w:noWrap w:val="0"/>
            <w:vAlign w:val="center"/>
          </w:tcPr>
          <w:p>
            <w:pPr>
              <w:pStyle w:val="17"/>
              <w:ind w:firstLine="480"/>
              <w:jc w:val="center"/>
              <w:rPr>
                <w:rFonts w:hint="eastAsia"/>
                <w:lang w:val="en-US" w:eastAsia="zh-CN"/>
              </w:rPr>
            </w:pPr>
            <w:r>
              <w:rPr>
                <w:rFonts w:hint="eastAsia"/>
                <w:lang w:val="en-US" w:eastAsia="zh-CN"/>
              </w:rPr>
              <w:t>1</w:t>
            </w:r>
          </w:p>
        </w:tc>
        <w:tc>
          <w:tcPr>
            <w:tcW w:w="1664" w:type="dxa"/>
            <w:tcBorders>
              <w:top w:val="outset" w:color="auto" w:sz="6" w:space="0"/>
              <w:left w:val="outset" w:color="auto" w:sz="6" w:space="0"/>
              <w:bottom w:val="outset" w:color="auto" w:sz="6" w:space="0"/>
              <w:right w:val="outset" w:color="auto" w:sz="6" w:space="0"/>
            </w:tcBorders>
            <w:noWrap w:val="0"/>
            <w:vAlign w:val="center"/>
          </w:tcPr>
          <w:p>
            <w:pPr>
              <w:pStyle w:val="17"/>
              <w:ind w:firstLine="480"/>
              <w:jc w:val="center"/>
              <w:rPr>
                <w:rFonts w:hint="default"/>
                <w:lang w:val="en-US" w:eastAsia="zh-CN"/>
              </w:rPr>
            </w:pPr>
            <w:r>
              <w:rPr>
                <w:rFonts w:hint="eastAsia"/>
                <w:lang w:val="en-US" w:eastAsia="zh-CN"/>
              </w:rPr>
              <w:t>95</w:t>
            </w:r>
          </w:p>
        </w:tc>
        <w:tc>
          <w:tcPr>
            <w:tcW w:w="4993" w:type="dxa"/>
            <w:tcBorders>
              <w:top w:val="outset" w:color="auto" w:sz="6" w:space="0"/>
              <w:left w:val="outset" w:color="auto" w:sz="6" w:space="0"/>
              <w:bottom w:val="outset" w:color="auto" w:sz="6" w:space="0"/>
              <w:right w:val="outset" w:color="auto" w:sz="6" w:space="0"/>
            </w:tcBorders>
            <w:noWrap w:val="0"/>
            <w:vAlign w:val="top"/>
          </w:tcPr>
          <w:p>
            <w:pPr>
              <w:pStyle w:val="17"/>
              <w:ind w:firstLine="480"/>
              <w:rPr>
                <w:rFonts w:hint="eastAsia"/>
                <w:lang w:val="en-US" w:eastAsia="zh-CN"/>
              </w:rPr>
            </w:pPr>
            <w:r>
              <w:rPr>
                <w:rFonts w:hint="eastAsia"/>
                <w:lang w:val="en-US" w:eastAsia="zh-CN"/>
              </w:rPr>
              <w:t>全部货物交货并经调试验收合格后，在15个工作日内向中标方一次性支付中标金额的95%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1665" w:type="dxa"/>
            <w:tcBorders>
              <w:top w:val="outset" w:color="auto" w:sz="6" w:space="0"/>
              <w:left w:val="outset" w:color="auto" w:sz="6" w:space="0"/>
              <w:bottom w:val="outset" w:color="auto" w:sz="6" w:space="0"/>
              <w:right w:val="outset" w:color="auto" w:sz="6" w:space="0"/>
            </w:tcBorders>
            <w:noWrap w:val="0"/>
            <w:vAlign w:val="center"/>
          </w:tcPr>
          <w:p>
            <w:pPr>
              <w:pStyle w:val="17"/>
              <w:ind w:firstLine="480"/>
              <w:jc w:val="center"/>
              <w:rPr>
                <w:rFonts w:hint="eastAsia"/>
                <w:lang w:val="en-US" w:eastAsia="zh-CN"/>
              </w:rPr>
            </w:pPr>
            <w:r>
              <w:rPr>
                <w:rFonts w:hint="eastAsia"/>
                <w:lang w:val="en-US" w:eastAsia="zh-CN"/>
              </w:rPr>
              <w:t>2</w:t>
            </w:r>
          </w:p>
        </w:tc>
        <w:tc>
          <w:tcPr>
            <w:tcW w:w="1664" w:type="dxa"/>
            <w:tcBorders>
              <w:top w:val="outset" w:color="auto" w:sz="6" w:space="0"/>
              <w:left w:val="outset" w:color="auto" w:sz="6" w:space="0"/>
              <w:bottom w:val="outset" w:color="auto" w:sz="6" w:space="0"/>
              <w:right w:val="outset" w:color="auto" w:sz="6" w:space="0"/>
            </w:tcBorders>
            <w:noWrap w:val="0"/>
            <w:vAlign w:val="center"/>
          </w:tcPr>
          <w:p>
            <w:pPr>
              <w:pStyle w:val="17"/>
              <w:ind w:firstLine="480"/>
              <w:jc w:val="center"/>
              <w:rPr>
                <w:rFonts w:hint="default"/>
                <w:lang w:val="en-US" w:eastAsia="zh-CN"/>
              </w:rPr>
            </w:pPr>
            <w:r>
              <w:rPr>
                <w:rFonts w:hint="eastAsia"/>
                <w:lang w:val="en-US" w:eastAsia="zh-CN"/>
              </w:rPr>
              <w:t>5</w:t>
            </w:r>
          </w:p>
        </w:tc>
        <w:tc>
          <w:tcPr>
            <w:tcW w:w="4993" w:type="dxa"/>
            <w:tcBorders>
              <w:top w:val="outset" w:color="auto" w:sz="6" w:space="0"/>
              <w:left w:val="outset" w:color="auto" w:sz="6" w:space="0"/>
              <w:bottom w:val="outset" w:color="auto" w:sz="6" w:space="0"/>
              <w:right w:val="outset" w:color="auto" w:sz="6" w:space="0"/>
            </w:tcBorders>
            <w:noWrap w:val="0"/>
            <w:vAlign w:val="top"/>
          </w:tcPr>
          <w:p>
            <w:pPr>
              <w:pStyle w:val="17"/>
              <w:ind w:firstLine="480"/>
              <w:rPr>
                <w:rFonts w:hint="eastAsia"/>
                <w:lang w:val="en-US" w:eastAsia="zh-CN"/>
              </w:rPr>
            </w:pPr>
            <w:r>
              <w:rPr>
                <w:rFonts w:hint="eastAsia"/>
                <w:lang w:val="en-US" w:eastAsia="zh-CN"/>
              </w:rPr>
              <w:t>剩余款5%在质保期满一年后无质保问题15个工作日内支付</w:t>
            </w:r>
          </w:p>
        </w:tc>
      </w:tr>
    </w:tbl>
    <w:p>
      <w:pPr>
        <w:pStyle w:val="17"/>
        <w:ind w:firstLine="480"/>
      </w:pPr>
      <w:bookmarkStart w:id="5" w:name="_Toc12868"/>
    </w:p>
    <w:p>
      <w:pPr>
        <w:spacing w:line="400" w:lineRule="exac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8、项目安装及调试</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8.1、中标人应负责将设备初验收合格后，运至用户所在处并提供设备的免费安装、安装调试。</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8.2、中标人负责组织专业技术人员进行设备安装、安装调试，用户应提供必须的基本条件和专人配合，保证各项安装工作顺利进行。</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8.3、安装调试到位后的设备由中标人及用户共同进行质量验收签字。</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8.4、设备验收前，中标人须提供完整的技术资料（包括产品说明书、用户手册、出厂明细表或装箱单、制造厂质量合格证书及其他相关文件资料）。</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8.5、中标人向用户提供安装和维修所需特殊专用的工具、备件及清单和中文说明书，其费用包括在投标价格内。</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8.6、线材、辅材实行包干制，不足部份由中标人自行承担。</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8.7、中标人在用户安装现场进行最终验收所发生的一切费用由中标人承担。</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8.8、中标人应提供免费安装现场培训。</w:t>
      </w:r>
    </w:p>
    <w:p>
      <w:pPr>
        <w:pStyle w:val="28"/>
        <w:ind w:left="0" w:leftChars="0" w:firstLine="0" w:firstLineChars="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9、技术培训</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项目建设过程需对相关人员进行技术培训，在项目投入运行后对用户开展有针对性的系统操作培训，包括用户集中培训、领导点对点培训、关键岗位和角色的跟班培训等，以保证系统技术和管理人员、领导及时、准确地了解和熟练地掌握系统的操作。</w:t>
      </w:r>
    </w:p>
    <w:p>
      <w:pPr>
        <w:spacing w:line="420" w:lineRule="exact"/>
        <w:ind w:firstLine="480" w:firstLineChars="20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为了保证投标人所提供的系统设备良好运行，要求中标人负责对项目提供有关系统设备（软件）功能、安装、操作、设计、维护等方面的现场培训（培训资料每人一套），使其具备熟练地使用设备、判断处理设备故障、熟练维护设备的能力，能指导单位其他人员进行日常维护工作。承担培训的负责人需具备合格的资历和执教能力，培训费用由中标人自行承担。</w:t>
      </w:r>
    </w:p>
    <w:p>
      <w:pPr>
        <w:spacing w:line="440" w:lineRule="exact"/>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10、质保期和售后服务要求</w:t>
      </w:r>
    </w:p>
    <w:p>
      <w:pPr>
        <w:pStyle w:val="17"/>
        <w:keepNext w:val="0"/>
        <w:keepLines w:val="0"/>
        <w:widowControl/>
        <w:suppressLineNumbers w:val="0"/>
        <w:spacing w:line="435" w:lineRule="atLeast"/>
        <w:rPr>
          <w:rFonts w:hint="eastAsia" w:ascii="宋体" w:hAnsi="宋体" w:eastAsia="宋体" w:cs="宋体"/>
          <w:kern w:val="0"/>
          <w:sz w:val="24"/>
          <w:szCs w:val="24"/>
          <w:lang w:val="en-US" w:eastAsia="zh-CN" w:bidi="ar-SA"/>
        </w:rPr>
      </w:pPr>
      <w:r>
        <w:rPr>
          <w:rFonts w:hint="eastAsia" w:cs="宋体"/>
          <w:kern w:val="0"/>
          <w:sz w:val="24"/>
          <w:szCs w:val="24"/>
          <w:lang w:val="en-US" w:eastAsia="zh-CN" w:bidi="ar-SA"/>
        </w:rPr>
        <w:t>10</w:t>
      </w:r>
      <w:r>
        <w:rPr>
          <w:rFonts w:hint="eastAsia" w:ascii="宋体" w:hAnsi="宋体" w:eastAsia="宋体" w:cs="宋体"/>
          <w:kern w:val="0"/>
          <w:sz w:val="24"/>
          <w:szCs w:val="24"/>
          <w:lang w:val="en-US" w:eastAsia="zh-CN" w:bidi="ar-SA"/>
        </w:rPr>
        <w:t>.1售后服务要求响应时间为：</w:t>
      </w:r>
      <w:r>
        <w:rPr>
          <w:rFonts w:hint="eastAsia" w:cs="宋体"/>
          <w:kern w:val="0"/>
          <w:sz w:val="24"/>
          <w:szCs w:val="24"/>
          <w:lang w:val="en-US" w:eastAsia="zh-CN" w:bidi="ar-SA"/>
        </w:rPr>
        <w:t>中标</w:t>
      </w:r>
      <w:r>
        <w:rPr>
          <w:rFonts w:hint="eastAsia" w:ascii="宋体" w:hAnsi="宋体" w:eastAsia="宋体" w:cs="宋体"/>
          <w:kern w:val="0"/>
          <w:sz w:val="24"/>
          <w:szCs w:val="24"/>
          <w:lang w:val="en-US" w:eastAsia="zh-CN" w:bidi="ar-SA"/>
        </w:rPr>
        <w:t xml:space="preserve">方应提供7×24小时电话技术咨询支持，在收到用户通知后，15分钟内响应，在24小时内到达现场，48小时内解决。 </w:t>
      </w:r>
    </w:p>
    <w:p>
      <w:pPr>
        <w:pStyle w:val="17"/>
        <w:keepNext w:val="0"/>
        <w:keepLines w:val="0"/>
        <w:widowControl/>
        <w:suppressLineNumbers w:val="0"/>
        <w:spacing w:line="435" w:lineRule="atLeast"/>
        <w:rPr>
          <w:rFonts w:hint="eastAsia" w:ascii="宋体" w:hAnsi="宋体" w:eastAsia="宋体" w:cs="宋体"/>
          <w:kern w:val="0"/>
          <w:sz w:val="24"/>
          <w:szCs w:val="24"/>
          <w:lang w:val="en-US" w:eastAsia="zh-CN" w:bidi="ar-SA"/>
        </w:rPr>
      </w:pPr>
      <w:r>
        <w:rPr>
          <w:rFonts w:hint="eastAsia" w:cs="宋体"/>
          <w:kern w:val="0"/>
          <w:sz w:val="24"/>
          <w:szCs w:val="24"/>
          <w:lang w:val="en-US" w:eastAsia="zh-CN" w:bidi="ar-SA"/>
        </w:rPr>
        <w:t>10</w:t>
      </w:r>
      <w:r>
        <w:rPr>
          <w:rFonts w:hint="eastAsia" w:ascii="宋体" w:hAnsi="宋体" w:eastAsia="宋体" w:cs="宋体"/>
          <w:kern w:val="0"/>
          <w:sz w:val="24"/>
          <w:szCs w:val="24"/>
          <w:lang w:val="en-US" w:eastAsia="zh-CN" w:bidi="ar-SA"/>
        </w:rPr>
        <w:t>.2保质期内因设备本身缺陷造成各种故障应由</w:t>
      </w:r>
      <w:r>
        <w:rPr>
          <w:rFonts w:hint="eastAsia" w:cs="宋体"/>
          <w:kern w:val="0"/>
          <w:sz w:val="24"/>
          <w:szCs w:val="24"/>
          <w:lang w:val="en-US" w:eastAsia="zh-CN" w:bidi="ar-SA"/>
        </w:rPr>
        <w:t>中标方</w:t>
      </w:r>
      <w:r>
        <w:rPr>
          <w:rFonts w:hint="eastAsia" w:ascii="宋体" w:hAnsi="宋体" w:eastAsia="宋体" w:cs="宋体"/>
          <w:kern w:val="0"/>
          <w:sz w:val="24"/>
          <w:szCs w:val="24"/>
          <w:lang w:val="en-US" w:eastAsia="zh-CN" w:bidi="ar-SA"/>
        </w:rPr>
        <w:t xml:space="preserve">免费提供技术服务和维修。 </w:t>
      </w:r>
    </w:p>
    <w:p>
      <w:pPr>
        <w:pStyle w:val="17"/>
        <w:keepNext w:val="0"/>
        <w:keepLines w:val="0"/>
        <w:widowControl/>
        <w:suppressLineNumbers w:val="0"/>
        <w:spacing w:line="435" w:lineRule="atLeast"/>
        <w:rPr>
          <w:rFonts w:hint="eastAsia" w:ascii="宋体" w:hAnsi="宋体" w:eastAsia="宋体" w:cs="宋体"/>
          <w:kern w:val="0"/>
          <w:sz w:val="24"/>
          <w:szCs w:val="24"/>
          <w:lang w:val="en-US" w:eastAsia="zh-CN" w:bidi="ar-SA"/>
        </w:rPr>
      </w:pPr>
      <w:r>
        <w:rPr>
          <w:rFonts w:hint="eastAsia" w:cs="宋体"/>
          <w:kern w:val="0"/>
          <w:sz w:val="24"/>
          <w:szCs w:val="24"/>
          <w:lang w:val="en-US" w:eastAsia="zh-CN" w:bidi="ar-SA"/>
        </w:rPr>
        <w:t>10</w:t>
      </w:r>
      <w:r>
        <w:rPr>
          <w:rFonts w:hint="eastAsia" w:ascii="宋体" w:hAnsi="宋体" w:eastAsia="宋体" w:cs="宋体"/>
          <w:kern w:val="0"/>
          <w:sz w:val="24"/>
          <w:szCs w:val="24"/>
          <w:lang w:val="en-US" w:eastAsia="zh-CN" w:bidi="ar-SA"/>
        </w:rPr>
        <w:t>.3出现故障后，</w:t>
      </w:r>
      <w:r>
        <w:rPr>
          <w:rFonts w:hint="eastAsia" w:cs="宋体"/>
          <w:kern w:val="0"/>
          <w:sz w:val="24"/>
          <w:szCs w:val="24"/>
          <w:lang w:val="en-US" w:eastAsia="zh-CN" w:bidi="ar-SA"/>
        </w:rPr>
        <w:t>中标方</w:t>
      </w:r>
      <w:r>
        <w:rPr>
          <w:rFonts w:hint="eastAsia" w:ascii="宋体" w:hAnsi="宋体" w:eastAsia="宋体" w:cs="宋体"/>
          <w:kern w:val="0"/>
          <w:sz w:val="24"/>
          <w:szCs w:val="24"/>
          <w:lang w:val="en-US" w:eastAsia="zh-CN" w:bidi="ar-SA"/>
        </w:rPr>
        <w:t>如未按上述要求进行响应，</w:t>
      </w:r>
      <w:r>
        <w:rPr>
          <w:rFonts w:hint="eastAsia" w:cs="宋体"/>
          <w:kern w:val="0"/>
          <w:sz w:val="24"/>
          <w:szCs w:val="24"/>
          <w:lang w:val="en-US" w:eastAsia="zh-CN" w:bidi="ar-SA"/>
        </w:rPr>
        <w:t>业主方</w:t>
      </w:r>
      <w:r>
        <w:rPr>
          <w:rFonts w:hint="eastAsia" w:ascii="宋体" w:hAnsi="宋体" w:eastAsia="宋体" w:cs="宋体"/>
          <w:kern w:val="0"/>
          <w:sz w:val="24"/>
          <w:szCs w:val="24"/>
          <w:lang w:val="en-US" w:eastAsia="zh-CN" w:bidi="ar-SA"/>
        </w:rPr>
        <w:t>可以采取必要的补救措施，由此产生的风险和费用全部由</w:t>
      </w:r>
      <w:r>
        <w:rPr>
          <w:rFonts w:hint="eastAsia" w:cs="宋体"/>
          <w:kern w:val="0"/>
          <w:sz w:val="24"/>
          <w:szCs w:val="24"/>
          <w:lang w:val="en-US" w:eastAsia="zh-CN" w:bidi="ar-SA"/>
        </w:rPr>
        <w:t>中标方</w:t>
      </w:r>
      <w:r>
        <w:rPr>
          <w:rFonts w:hint="eastAsia" w:ascii="宋体" w:hAnsi="宋体" w:eastAsia="宋体" w:cs="宋体"/>
          <w:kern w:val="0"/>
          <w:sz w:val="24"/>
          <w:szCs w:val="24"/>
          <w:lang w:val="en-US" w:eastAsia="zh-CN" w:bidi="ar-SA"/>
        </w:rPr>
        <w:t xml:space="preserve">承担。 </w:t>
      </w:r>
    </w:p>
    <w:p>
      <w:pPr>
        <w:pStyle w:val="17"/>
        <w:keepNext w:val="0"/>
        <w:keepLines w:val="0"/>
        <w:widowControl/>
        <w:suppressLineNumbers w:val="0"/>
        <w:spacing w:line="435" w:lineRule="atLeast"/>
        <w:rPr>
          <w:rFonts w:hint="eastAsia" w:ascii="宋体" w:hAnsi="宋体" w:eastAsia="宋体" w:cs="宋体"/>
          <w:kern w:val="0"/>
          <w:sz w:val="24"/>
          <w:szCs w:val="24"/>
          <w:lang w:val="en-US" w:eastAsia="zh-CN" w:bidi="ar-SA"/>
        </w:rPr>
      </w:pPr>
      <w:r>
        <w:rPr>
          <w:rFonts w:hint="eastAsia" w:cs="宋体"/>
          <w:kern w:val="0"/>
          <w:sz w:val="24"/>
          <w:szCs w:val="24"/>
          <w:lang w:val="en-US" w:eastAsia="zh-CN" w:bidi="ar-SA"/>
        </w:rPr>
        <w:t>10</w:t>
      </w:r>
      <w:r>
        <w:rPr>
          <w:rFonts w:hint="eastAsia" w:ascii="宋体" w:hAnsi="宋体" w:eastAsia="宋体" w:cs="宋体"/>
          <w:kern w:val="0"/>
          <w:sz w:val="24"/>
          <w:szCs w:val="24"/>
          <w:lang w:val="en-US" w:eastAsia="zh-CN" w:bidi="ar-SA"/>
        </w:rPr>
        <w:t>.4在保修期内，除人为损坏和不可抗力外，期间所产生的任何维护或维修及更换配件的费用均由</w:t>
      </w:r>
      <w:r>
        <w:rPr>
          <w:rFonts w:hint="eastAsia" w:cs="宋体"/>
          <w:kern w:val="0"/>
          <w:sz w:val="24"/>
          <w:szCs w:val="24"/>
          <w:lang w:val="en-US" w:eastAsia="zh-CN" w:bidi="ar-SA"/>
        </w:rPr>
        <w:t>中标方</w:t>
      </w:r>
      <w:r>
        <w:rPr>
          <w:rFonts w:hint="eastAsia" w:ascii="宋体" w:hAnsi="宋体" w:eastAsia="宋体" w:cs="宋体"/>
          <w:kern w:val="0"/>
          <w:sz w:val="24"/>
          <w:szCs w:val="24"/>
          <w:lang w:val="en-US" w:eastAsia="zh-CN" w:bidi="ar-SA"/>
        </w:rPr>
        <w:t>承担。</w:t>
      </w:r>
    </w:p>
    <w:p>
      <w:pPr>
        <w:pStyle w:val="17"/>
        <w:keepNext w:val="0"/>
        <w:keepLines w:val="0"/>
        <w:widowControl/>
        <w:suppressLineNumbers w:val="0"/>
        <w:spacing w:line="435" w:lineRule="atLeas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11、验收要求</w:t>
      </w:r>
    </w:p>
    <w:p>
      <w:pPr>
        <w:spacing w:line="400" w:lineRule="exact"/>
        <w:ind w:firstLine="360" w:firstLineChars="15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产品按国家及行业标准的相关规定验收，由中标人和招标人共同完成。中标人在验收前必须向招标人提供产品合格证、产品验收证/单、保修卡等资料。</w:t>
      </w:r>
    </w:p>
    <w:p>
      <w:pPr>
        <w:spacing w:line="400" w:lineRule="exact"/>
        <w:ind w:firstLine="360" w:firstLineChars="15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验收规则</w:t>
      </w:r>
    </w:p>
    <w:p>
      <w:pPr>
        <w:spacing w:line="400" w:lineRule="exact"/>
        <w:ind w:firstLine="360" w:firstLineChars="15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验收标准：所有产品均按国家及行业标准的相关规定、本采购文件、及投标样品相关内容进行验收。</w:t>
      </w:r>
    </w:p>
    <w:p>
      <w:pPr>
        <w:tabs>
          <w:tab w:val="left" w:pos="360"/>
        </w:tabs>
        <w:spacing w:line="400" w:lineRule="exact"/>
        <w:ind w:firstLine="360" w:firstLineChars="15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验收程序如下：</w:t>
      </w:r>
    </w:p>
    <w:p>
      <w:pPr>
        <w:spacing w:line="400" w:lineRule="exact"/>
        <w:ind w:firstLine="360" w:firstLineChars="15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出厂检验：中标人在产品出厂前，应按产品技术标准规定的检验项目和试验方法进行全面检验。中标人应随同产品出具原产地证书、出厂检验报告及产品质量合格证等，结果必须符合前款验收标准的要求。</w:t>
      </w:r>
    </w:p>
    <w:p>
      <w:pPr>
        <w:spacing w:line="400" w:lineRule="exact"/>
        <w:ind w:firstLine="360" w:firstLineChars="15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最终验收：验收时，中标人所供到场货物与投标文件响应性不相符，招标人可要求退货招标人有权随机抽取各种样品送市级及以上第三方具有国家权威检测机构进行检测，抽捡样品和所需一切检费用由中标人承担，若经检测质量不符合国家标准和招标文件规定的质量标准，招标人有权解除合同并由中标人承担招标人一切损失。3、验收费用：产品最终检验、验收过程的费用由中标人承担。</w:t>
      </w:r>
    </w:p>
    <w:p>
      <w:pPr>
        <w:pStyle w:val="17"/>
        <w:keepNext w:val="0"/>
        <w:keepLines w:val="0"/>
        <w:widowControl/>
        <w:suppressLineNumbers w:val="0"/>
        <w:spacing w:line="435" w:lineRule="atLeast"/>
        <w:rPr>
          <w:rFonts w:hint="eastAsia" w:ascii="宋体" w:hAnsi="宋体" w:eastAsia="宋体" w:cs="宋体"/>
          <w:kern w:val="0"/>
          <w:sz w:val="24"/>
          <w:szCs w:val="24"/>
          <w:lang w:val="en-US" w:eastAsia="zh-CN" w:bidi="ar-SA"/>
        </w:rPr>
      </w:pPr>
    </w:p>
    <w:p>
      <w:pPr>
        <w:pStyle w:val="17"/>
        <w:keepNext w:val="0"/>
        <w:keepLines w:val="0"/>
        <w:widowControl/>
        <w:suppressLineNumbers w:val="0"/>
        <w:spacing w:line="435" w:lineRule="atLeast"/>
        <w:rPr>
          <w:rFonts w:hint="eastAsia" w:ascii="宋体" w:hAnsi="宋体" w:eastAsia="宋体" w:cs="宋体"/>
          <w:kern w:val="0"/>
          <w:sz w:val="24"/>
          <w:szCs w:val="24"/>
          <w:lang w:val="en-US" w:eastAsia="zh-CN" w:bidi="ar-SA"/>
        </w:rPr>
      </w:pPr>
      <w:bookmarkStart w:id="14" w:name="_GoBack"/>
      <w:bookmarkEnd w:id="14"/>
      <w:r>
        <w:rPr>
          <w:rFonts w:hint="eastAsia" w:ascii="宋体" w:hAnsi="宋体" w:eastAsia="宋体" w:cs="宋体"/>
          <w:kern w:val="0"/>
          <w:sz w:val="24"/>
          <w:szCs w:val="24"/>
          <w:lang w:val="en-US" w:eastAsia="zh-CN" w:bidi="ar-SA"/>
        </w:rPr>
        <w:t>12、逾期违约条款</w:t>
      </w:r>
    </w:p>
    <w:p>
      <w:pPr>
        <w:spacing w:line="400" w:lineRule="exact"/>
        <w:ind w:firstLine="360" w:firstLineChars="15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本项目的货物运输到达必须在合同约定的时间完成。若延期完成视为中标方违约，中标方应向招标方赔付逾期违约金（从合同总额中扣除）逾期违约金按500元/天计。但核定违约金的支付不得超过合同总价的5%，如果卖方在达到核定违约金的最高限额后仍不能交货，买方有权因卖方违约终止合同，而卖方仍有义务支付上述核定违约金。在履行合同过程中，若出现疑议，双方当事人协商解决；也可由当地工商行政管理部门调解；协商或调解不成的，依法向人民法院起诉解决。</w:t>
      </w:r>
    </w:p>
    <w:p>
      <w:pPr>
        <w:pStyle w:val="17"/>
        <w:keepNext w:val="0"/>
        <w:keepLines w:val="0"/>
        <w:widowControl/>
        <w:suppressLineNumbers w:val="0"/>
        <w:spacing w:line="435" w:lineRule="atLeast"/>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13、报价要求</w:t>
      </w:r>
    </w:p>
    <w:p>
      <w:pPr>
        <w:pStyle w:val="17"/>
        <w:keepNext w:val="0"/>
        <w:keepLines w:val="0"/>
        <w:widowControl/>
        <w:suppressLineNumbers w:val="0"/>
        <w:spacing w:line="435" w:lineRule="atLeast"/>
        <w:ind w:left="0" w:firstLine="48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所报总价为货物送达业主指 定地点，交货完毕并经业主验收合格期间所可能发生的费用，投标人报价应包含货物的制造、包装、运输、装卸、保险、验收、检验、利 润、税金、安装、安装调试、及技术服务、培训、招标代理费等以及相关规定须交纳的其它费用等。报价币种为人民币，应列出每项产品的单价及总价。本项目中所发生的一切费用均包含在报价中。</w:t>
      </w:r>
    </w:p>
    <w:p>
      <w:pPr>
        <w:pStyle w:val="17"/>
        <w:keepNext w:val="0"/>
        <w:keepLines w:val="0"/>
        <w:widowControl/>
        <w:suppressLineNumbers w:val="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四、其他要求 </w:t>
      </w:r>
    </w:p>
    <w:p>
      <w:pPr>
        <w:pStyle w:val="17"/>
        <w:keepNext w:val="0"/>
        <w:keepLines w:val="0"/>
        <w:widowControl/>
        <w:suppressLineNumbers w:val="0"/>
        <w:spacing w:line="435" w:lineRule="atLeast"/>
        <w:ind w:left="0" w:firstLine="48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（1）本次采购货物数量均为最低要求，投标供应商必须保证货物基本需求满足或优于招标文件要求，出现负偏离将被视为未实质性响应招标文件要求，按无效标处理。投标供 应 商应根据招标文件要求提供自己货物的响应，并应在投标文件中列出全部货物相对于本招标文件对各种技术性能规定的技术偏离表。</w:t>
      </w:r>
    </w:p>
    <w:p>
      <w:pPr>
        <w:pStyle w:val="17"/>
        <w:keepNext w:val="0"/>
        <w:keepLines w:val="0"/>
        <w:widowControl/>
        <w:suppressLineNumbers w:val="0"/>
        <w:spacing w:line="435" w:lineRule="atLeast"/>
        <w:ind w:left="0" w:firstLine="48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投标人所投货物应是原装、全新的经出厂检验合格的产品。积压的库存商品排除在外；完全符合采购要求规定的质量要求。供货货物的制造、质量、包装等均应满足《产品质量法》的要求。技术标准必须符合或优于国家最新颁布的有关标准。</w:t>
      </w:r>
    </w:p>
    <w:p>
      <w:pPr>
        <w:pStyle w:val="17"/>
        <w:keepNext w:val="0"/>
        <w:keepLines w:val="0"/>
        <w:widowControl/>
        <w:suppressLineNumbers w:val="0"/>
        <w:spacing w:line="435" w:lineRule="atLeast"/>
        <w:ind w:left="0" w:firstLine="48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（3）投标人必须列出全部货物的明细表，包括产品名 称、品 牌、数量、单价、总价、投标总价、备注等；</w:t>
      </w:r>
    </w:p>
    <w:p>
      <w:pPr>
        <w:pStyle w:val="17"/>
        <w:keepNext w:val="0"/>
        <w:keepLines w:val="0"/>
        <w:widowControl/>
        <w:suppressLineNumbers w:val="0"/>
        <w:spacing w:line="435" w:lineRule="atLeast"/>
        <w:ind w:left="0" w:firstLine="480"/>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（4）本文所述技术要求，应保证货物所需的最低要求，如有遗漏，投标人应予以补充，否则，一旦中标将认为投标人认同遗漏部分并免费提供。</w:t>
      </w:r>
    </w:p>
    <w:p>
      <w:pPr>
        <w:pStyle w:val="17"/>
        <w:ind w:firstLine="480"/>
      </w:pPr>
      <w:r>
        <w:br w:type="page"/>
      </w:r>
    </w:p>
    <w:p>
      <w:pPr>
        <w:pStyle w:val="4"/>
      </w:pPr>
      <w:r>
        <w:t>第</w:t>
      </w:r>
      <w:r>
        <w:rPr>
          <w:rFonts w:hint="eastAsia"/>
        </w:rPr>
        <w:t>四</w:t>
      </w:r>
      <w:r>
        <w:t>章</w:t>
      </w:r>
      <w:r>
        <w:rPr>
          <w:rFonts w:hint="eastAsia"/>
        </w:rPr>
        <w:t xml:space="preserve"> </w:t>
      </w:r>
      <w:r>
        <w:t>响应文件格式</w:t>
      </w:r>
      <w:bookmarkEnd w:id="5"/>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5"/>
      </w:pPr>
      <w:bookmarkStart w:id="6" w:name="_Toc21368"/>
      <w:r>
        <w:rPr>
          <w:rFonts w:hint="eastAsia"/>
        </w:rPr>
        <w:t>1</w:t>
      </w:r>
      <w:r>
        <w:t>、报价一览表</w:t>
      </w:r>
      <w:bookmarkEnd w:id="6"/>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8"/>
        <w:tblW w:w="840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1440"/>
        <w:gridCol w:w="1065"/>
        <w:gridCol w:w="1980"/>
        <w:gridCol w:w="1080"/>
        <w:gridCol w:w="19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4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65"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80"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9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4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65"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8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9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5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5"/>
      </w:pPr>
      <w:bookmarkStart w:id="7" w:name="_Toc32753"/>
      <w:r>
        <w:rPr>
          <w:rFonts w:hint="eastAsia"/>
        </w:rPr>
        <w:t>2</w:t>
      </w:r>
      <w:r>
        <w:t>、分项报价表</w:t>
      </w:r>
      <w:bookmarkEnd w:id="7"/>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8"/>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5"/>
      </w:pPr>
      <w:bookmarkStart w:id="8" w:name="_Toc19447"/>
      <w:r>
        <w:rPr>
          <w:rFonts w:hint="eastAsia"/>
        </w:rPr>
        <w:t>3、资格证明文件</w:t>
      </w:r>
      <w:bookmarkEnd w:id="8"/>
    </w:p>
    <w:p>
      <w:pPr>
        <w:pStyle w:val="6"/>
      </w:pPr>
      <w:bookmarkStart w:id="9" w:name="_Toc11904"/>
      <w:r>
        <w:rPr>
          <w:rFonts w:hint="eastAsia"/>
        </w:rPr>
        <w:t>3</w:t>
      </w:r>
      <w:r>
        <w:t>-1单位负责人授权书（若有）</w:t>
      </w:r>
      <w:bookmarkEnd w:id="9"/>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6"/>
      </w:pPr>
      <w:bookmarkStart w:id="10" w:name="_Toc16968"/>
      <w:r>
        <w:rPr>
          <w:rFonts w:hint="eastAsia"/>
        </w:rPr>
        <w:t>3</w:t>
      </w:r>
      <w:r>
        <w:t>-2营业执照等证明文件</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7"/>
        <w:keepNext w:val="0"/>
        <w:keepLines w:val="0"/>
        <w:widowControl/>
        <w:suppressLineNumbers w:val="0"/>
        <w:jc w:val="center"/>
      </w:pPr>
      <w:r>
        <w:rPr>
          <w:rFonts w:ascii="宋体" w:hAnsi="宋体" w:eastAsia="宋体" w:cs="宋体"/>
          <w:kern w:val="0"/>
          <w:sz w:val="24"/>
          <w:szCs w:val="24"/>
        </w:rPr>
        <w:br w:type="page"/>
      </w:r>
      <w:r>
        <w:rPr>
          <w:rFonts w:hint="eastAsia" w:asciiTheme="minorHAnsi" w:hAnsiTheme="minorHAnsi" w:eastAsiaTheme="minorEastAsia" w:cstheme="minorBidi"/>
          <w:b/>
          <w:bCs/>
          <w:kern w:val="2"/>
          <w:sz w:val="32"/>
          <w:szCs w:val="32"/>
          <w:lang w:val="en-US" w:eastAsia="zh-CN" w:bidi="ar-SA"/>
        </w:rPr>
        <w:t>3-3依法缴纳社会保障资金证明材料</w:t>
      </w:r>
    </w:p>
    <w:p>
      <w:pPr>
        <w:pStyle w:val="17"/>
        <w:keepNext w:val="0"/>
        <w:keepLines w:val="0"/>
        <w:widowControl/>
        <w:suppressLineNumbers w:val="0"/>
      </w:pPr>
      <w:r>
        <w:rPr>
          <w:rFonts w:hint="eastAsia" w:ascii="宋体" w:hAnsi="宋体" w:eastAsia="宋体" w:cs="宋体"/>
          <w:sz w:val="21"/>
          <w:szCs w:val="21"/>
        </w:rPr>
        <w:t> </w:t>
      </w:r>
    </w:p>
    <w:p>
      <w:pPr>
        <w:pStyle w:val="17"/>
        <w:keepNext w:val="0"/>
        <w:keepLines w:val="0"/>
        <w:widowControl/>
        <w:suppressLineNumbers w:val="0"/>
      </w:pPr>
      <w:r>
        <w:rPr>
          <w:rFonts w:hint="eastAsia" w:ascii="宋体" w:hAnsi="宋体" w:eastAsia="宋体" w:cs="宋体"/>
          <w:sz w:val="21"/>
          <w:szCs w:val="21"/>
        </w:rPr>
        <w:t>致：</w:t>
      </w:r>
      <w:r>
        <w:rPr>
          <w:rFonts w:hint="eastAsia" w:ascii="宋体" w:hAnsi="宋体" w:eastAsia="宋体" w:cs="宋体"/>
          <w:sz w:val="21"/>
          <w:szCs w:val="21"/>
          <w:u w:val="single"/>
        </w:rPr>
        <w:t>                     </w:t>
      </w:r>
    </w:p>
    <w:p>
      <w:pPr>
        <w:pStyle w:val="17"/>
        <w:keepNext w:val="0"/>
        <w:keepLines w:val="0"/>
        <w:widowControl/>
        <w:suppressLineNumbers w:val="0"/>
        <w:ind w:left="0" w:firstLine="420"/>
      </w:pPr>
      <w:r>
        <w:rPr>
          <w:rFonts w:hint="eastAsia" w:ascii="宋体" w:hAnsi="宋体" w:eastAsia="宋体" w:cs="宋体"/>
          <w:sz w:val="21"/>
          <w:szCs w:val="21"/>
        </w:rPr>
        <w:t>1、依法缴纳社会保障资金的投标人</w:t>
      </w:r>
    </w:p>
    <w:p>
      <w:pPr>
        <w:pStyle w:val="17"/>
        <w:keepNext w:val="0"/>
        <w:keepLines w:val="0"/>
        <w:widowControl/>
        <w:suppressLineNumbers w:val="0"/>
        <w:ind w:left="0" w:firstLine="420"/>
      </w:pPr>
      <w:r>
        <w:rPr>
          <w:rFonts w:hint="eastAsia" w:ascii="宋体" w:hAnsi="宋体" w:eastAsia="宋体" w:cs="宋体"/>
          <w:sz w:val="21"/>
          <w:szCs w:val="21"/>
        </w:rPr>
        <w:t>（ ）法人（包括企业、事业单位和社会团体）的</w:t>
      </w:r>
    </w:p>
    <w:p>
      <w:pPr>
        <w:pStyle w:val="17"/>
        <w:keepNext w:val="0"/>
        <w:keepLines w:val="0"/>
        <w:widowControl/>
        <w:suppressLineNumbers w:val="0"/>
        <w:ind w:left="0" w:firstLine="420"/>
      </w:pPr>
      <w:r>
        <w:rPr>
          <w:rFonts w:hint="eastAsia" w:ascii="宋体" w:hAnsi="宋体" w:eastAsia="宋体" w:cs="宋体"/>
          <w:sz w:val="21"/>
          <w:szCs w:val="21"/>
        </w:rPr>
        <w:t>现附上自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17"/>
        <w:keepNext w:val="0"/>
        <w:keepLines w:val="0"/>
        <w:widowControl/>
        <w:suppressLineNumbers w:val="0"/>
        <w:ind w:left="0" w:firstLine="420"/>
      </w:pPr>
      <w:r>
        <w:rPr>
          <w:rFonts w:hint="eastAsia" w:ascii="宋体" w:hAnsi="宋体" w:eastAsia="宋体" w:cs="宋体"/>
          <w:sz w:val="21"/>
          <w:szCs w:val="21"/>
        </w:rPr>
        <w:t>（ ）非法人（包括其他组织、自然人）的</w:t>
      </w:r>
    </w:p>
    <w:p>
      <w:pPr>
        <w:pStyle w:val="17"/>
        <w:keepNext w:val="0"/>
        <w:keepLines w:val="0"/>
        <w:widowControl/>
        <w:suppressLineNumbers w:val="0"/>
        <w:ind w:left="0" w:firstLine="420"/>
      </w:pPr>
      <w:r>
        <w:rPr>
          <w:rFonts w:hint="eastAsia" w:ascii="宋体" w:hAnsi="宋体" w:eastAsia="宋体" w:cs="宋体"/>
          <w:sz w:val="21"/>
          <w:szCs w:val="21"/>
        </w:rPr>
        <w:t>自</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日至</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日我方缴纳的社会保险凭据（限：税务机关/社会保障资金管理机关的专用收据或社会保险缴纳清单，或社会保险的银行缴款收讫凭证）复印件，上述证明材料真实有效，否则我方负全部责任。</w:t>
      </w:r>
    </w:p>
    <w:p>
      <w:pPr>
        <w:pStyle w:val="17"/>
        <w:keepNext w:val="0"/>
        <w:keepLines w:val="0"/>
        <w:widowControl/>
        <w:suppressLineNumbers w:val="0"/>
        <w:ind w:left="0" w:firstLine="420"/>
      </w:pPr>
      <w:r>
        <w:rPr>
          <w:rFonts w:hint="eastAsia" w:ascii="宋体" w:hAnsi="宋体" w:eastAsia="宋体" w:cs="宋体"/>
          <w:sz w:val="21"/>
          <w:szCs w:val="21"/>
        </w:rPr>
        <w:t>2、依法不需要缴纳社会保障资金的投标人</w:t>
      </w:r>
    </w:p>
    <w:p>
      <w:pPr>
        <w:pStyle w:val="17"/>
        <w:keepNext w:val="0"/>
        <w:keepLines w:val="0"/>
        <w:widowControl/>
        <w:suppressLineNumbers w:val="0"/>
        <w:ind w:left="0" w:firstLine="420"/>
      </w:pPr>
      <w:r>
        <w:rPr>
          <w:rFonts w:hint="eastAsia" w:ascii="宋体" w:hAnsi="宋体" w:eastAsia="宋体" w:cs="宋体"/>
          <w:sz w:val="21"/>
          <w:szCs w:val="21"/>
        </w:rPr>
        <w:t>（ ）现附上我方依法不需要缴纳社会保障资金证明材料复印件，上述证明材料真实有效，否则我方负全部责任。</w:t>
      </w:r>
    </w:p>
    <w:p>
      <w:pPr>
        <w:pStyle w:val="17"/>
        <w:keepNext w:val="0"/>
        <w:keepLines w:val="0"/>
        <w:widowControl/>
        <w:suppressLineNumbers w:val="0"/>
      </w:pPr>
      <w:r>
        <w:rPr>
          <w:rFonts w:hint="default" w:ascii="Calibri" w:hAnsi="Calibri" w:cs="Calibri"/>
          <w:sz w:val="21"/>
          <w:szCs w:val="21"/>
        </w:rPr>
        <w:t> </w:t>
      </w:r>
    </w:p>
    <w:p>
      <w:pPr>
        <w:pStyle w:val="17"/>
        <w:keepNext w:val="0"/>
        <w:keepLines w:val="0"/>
        <w:widowControl/>
        <w:suppressLineNumbers w:val="0"/>
      </w:pPr>
      <w:r>
        <w:rPr>
          <w:rFonts w:hint="eastAsia" w:ascii="宋体" w:hAnsi="宋体" w:eastAsia="宋体" w:cs="宋体"/>
          <w:sz w:val="21"/>
          <w:szCs w:val="21"/>
        </w:rPr>
        <w:t>★注意：</w:t>
      </w:r>
    </w:p>
    <w:p>
      <w:pPr>
        <w:pStyle w:val="17"/>
        <w:keepNext w:val="0"/>
        <w:keepLines w:val="0"/>
        <w:widowControl/>
        <w:suppressLineNumbers w:val="0"/>
      </w:pPr>
      <w:r>
        <w:rPr>
          <w:rFonts w:hint="eastAsia" w:ascii="宋体" w:hAnsi="宋体" w:eastAsia="宋体" w:cs="宋体"/>
          <w:sz w:val="21"/>
          <w:szCs w:val="21"/>
        </w:rPr>
        <w:t>1、请投标人按照实际情况编制填写，在相应的（）中打“√”，并按照本格式的要求提供相应证明材料的复印件。</w:t>
      </w:r>
    </w:p>
    <w:p>
      <w:pPr>
        <w:pStyle w:val="17"/>
        <w:keepNext w:val="0"/>
        <w:keepLines w:val="0"/>
        <w:widowControl/>
        <w:suppressLineNumbers w:val="0"/>
      </w:pPr>
      <w:r>
        <w:rPr>
          <w:rFonts w:hint="eastAsia" w:ascii="宋体" w:hAnsi="宋体" w:eastAsia="宋体" w:cs="宋体"/>
          <w:sz w:val="21"/>
          <w:szCs w:val="21"/>
        </w:rPr>
        <w:t>2、投标人提供的社会保险凭据复印件应符合下列规定：</w:t>
      </w:r>
    </w:p>
    <w:p>
      <w:pPr>
        <w:pStyle w:val="17"/>
        <w:keepNext w:val="0"/>
        <w:keepLines w:val="0"/>
        <w:widowControl/>
        <w:suppressLineNumbers w:val="0"/>
      </w:pPr>
      <w:r>
        <w:rPr>
          <w:rFonts w:hint="eastAsia" w:ascii="宋体" w:hAnsi="宋体" w:eastAsia="宋体" w:cs="宋体"/>
          <w:sz w:val="21"/>
          <w:szCs w:val="21"/>
        </w:rPr>
        <w:t>2.1投标截止时间前（不含投标截止时间的当月）已依法缴纳社会保障资金的投标人，提供投标截止时间前六个月（不含投标截止时间的当月）中任一月份的社会保险凭据复印件。</w:t>
      </w:r>
    </w:p>
    <w:p>
      <w:pPr>
        <w:pStyle w:val="17"/>
        <w:keepNext w:val="0"/>
        <w:keepLines w:val="0"/>
        <w:widowControl/>
        <w:suppressLineNumbers w:val="0"/>
      </w:pPr>
      <w:r>
        <w:rPr>
          <w:rFonts w:hint="eastAsia" w:ascii="宋体" w:hAnsi="宋体" w:eastAsia="宋体" w:cs="宋体"/>
          <w:sz w:val="21"/>
          <w:szCs w:val="21"/>
        </w:rPr>
        <w:t>2.2投标截止时间的当月成立且已依法缴纳社会保障资金的投标人，提供投标截止时间当月的社会保险凭据复印件。</w:t>
      </w:r>
    </w:p>
    <w:p>
      <w:pPr>
        <w:pStyle w:val="17"/>
        <w:keepNext w:val="0"/>
        <w:keepLines w:val="0"/>
        <w:widowControl/>
        <w:suppressLineNumbers w:val="0"/>
      </w:pPr>
      <w:r>
        <w:rPr>
          <w:rFonts w:hint="eastAsia" w:ascii="宋体" w:hAnsi="宋体" w:eastAsia="宋体" w:cs="宋体"/>
          <w:sz w:val="21"/>
          <w:szCs w:val="21"/>
        </w:rPr>
        <w:t>2.3投标截止时间的当月成立但因税务机关</w:t>
      </w:r>
      <w:r>
        <w:rPr>
          <w:rFonts w:hint="default" w:ascii="Calibri" w:hAnsi="Calibri" w:eastAsia="宋体" w:cs="Calibri"/>
          <w:sz w:val="21"/>
          <w:szCs w:val="21"/>
        </w:rPr>
        <w:t>/</w:t>
      </w:r>
      <w:r>
        <w:rPr>
          <w:rFonts w:hint="eastAsia" w:ascii="宋体" w:hAnsi="宋体" w:eastAsia="宋体" w:cs="宋体"/>
          <w:sz w:val="21"/>
          <w:szCs w:val="21"/>
        </w:rPr>
        <w:t>社会保障资金管理机关原因导致其尚未依法缴纳社会保障资金的投标人，提供依法缴纳社会保障资金承诺书原件（格式自拟），该承诺书视同社会保险凭据。</w:t>
      </w:r>
    </w:p>
    <w:p>
      <w:pPr>
        <w:pStyle w:val="17"/>
        <w:keepNext w:val="0"/>
        <w:keepLines w:val="0"/>
        <w:widowControl/>
        <w:suppressLineNumbers w:val="0"/>
      </w:pPr>
      <w:r>
        <w:rPr>
          <w:rFonts w:hint="eastAsia" w:ascii="宋体" w:hAnsi="宋体" w:eastAsia="宋体" w:cs="宋体"/>
          <w:sz w:val="21"/>
          <w:szCs w:val="21"/>
        </w:rPr>
        <w:t>3、</w:t>
      </w:r>
      <w:r>
        <w:rPr>
          <w:rStyle w:val="21"/>
          <w:rFonts w:hint="eastAsia" w:ascii="宋体" w:hAnsi="宋体" w:eastAsia="宋体" w:cs="宋体"/>
          <w:sz w:val="21"/>
          <w:szCs w:val="21"/>
        </w:rPr>
        <w:t>“依法缴纳社会保障资金证明材料”</w:t>
      </w:r>
      <w:r>
        <w:rPr>
          <w:rFonts w:hint="eastAsia" w:ascii="宋体" w:hAnsi="宋体" w:eastAsia="宋体" w:cs="宋体"/>
          <w:sz w:val="21"/>
          <w:szCs w:val="21"/>
        </w:rPr>
        <w:t>有欠缴记录的，视为</w:t>
      </w:r>
      <w:r>
        <w:rPr>
          <w:rStyle w:val="21"/>
          <w:rFonts w:hint="eastAsia" w:ascii="宋体" w:hAnsi="宋体" w:eastAsia="宋体" w:cs="宋体"/>
          <w:sz w:val="21"/>
          <w:szCs w:val="21"/>
        </w:rPr>
        <w:t>未依法缴纳社会保障资金。</w:t>
      </w:r>
    </w:p>
    <w:p>
      <w:pPr>
        <w:pStyle w:val="17"/>
        <w:keepNext w:val="0"/>
        <w:keepLines w:val="0"/>
        <w:widowControl/>
        <w:suppressLineNumbers w:val="0"/>
      </w:pPr>
      <w:r>
        <w:rPr>
          <w:rFonts w:hint="eastAsia" w:ascii="宋体" w:hAnsi="宋体" w:eastAsia="宋体" w:cs="宋体"/>
          <w:sz w:val="21"/>
          <w:szCs w:val="21"/>
        </w:rPr>
        <w:t>4、投标人提供的相应证明材料复印件均应符合：内容完整、清晰、整洁，并由投标人加盖其单位公章。</w:t>
      </w:r>
    </w:p>
    <w:p>
      <w:pPr>
        <w:pStyle w:val="17"/>
        <w:keepNext w:val="0"/>
        <w:keepLines w:val="0"/>
        <w:widowControl/>
        <w:suppressLineNumbers w:val="0"/>
      </w:pPr>
      <w:r>
        <w:rPr>
          <w:rFonts w:hint="default" w:ascii="Calibri" w:hAnsi="Calibri" w:cs="Calibri"/>
          <w:sz w:val="21"/>
          <w:szCs w:val="21"/>
        </w:rPr>
        <w:t> </w:t>
      </w:r>
    </w:p>
    <w:p>
      <w:pPr>
        <w:pStyle w:val="17"/>
        <w:keepNext w:val="0"/>
        <w:keepLines w:val="0"/>
        <w:widowControl/>
        <w:suppressLineNumbers w:val="0"/>
      </w:pPr>
      <w:r>
        <w:rPr>
          <w:rFonts w:hint="default" w:ascii="Calibri" w:hAnsi="Calibri" w:cs="Calibri"/>
          <w:sz w:val="21"/>
          <w:szCs w:val="21"/>
        </w:rPr>
        <w:t> </w:t>
      </w:r>
    </w:p>
    <w:p>
      <w:pPr>
        <w:pStyle w:val="17"/>
        <w:keepNext w:val="0"/>
        <w:keepLines w:val="0"/>
        <w:widowControl/>
        <w:suppressLineNumbers w:val="0"/>
      </w:pPr>
      <w:r>
        <w:rPr>
          <w:rFonts w:hint="eastAsia" w:ascii="宋体" w:hAnsi="宋体" w:eastAsia="宋体" w:cs="宋体"/>
          <w:sz w:val="21"/>
          <w:szCs w:val="21"/>
        </w:rPr>
        <w:t>投标人：</w:t>
      </w:r>
      <w:r>
        <w:rPr>
          <w:rFonts w:hint="eastAsia" w:ascii="宋体" w:hAnsi="宋体" w:eastAsia="宋体" w:cs="宋体"/>
          <w:sz w:val="21"/>
          <w:szCs w:val="21"/>
          <w:u w:val="single"/>
        </w:rPr>
        <w:t>（全称并加盖单位公章）</w:t>
      </w:r>
    </w:p>
    <w:p>
      <w:pPr>
        <w:pStyle w:val="17"/>
        <w:keepNext w:val="0"/>
        <w:keepLines w:val="0"/>
        <w:widowControl/>
        <w:suppressLineNumbers w:val="0"/>
      </w:pPr>
      <w:r>
        <w:rPr>
          <w:rFonts w:hint="eastAsia" w:ascii="宋体" w:hAnsi="宋体" w:eastAsia="宋体" w:cs="宋体"/>
          <w:sz w:val="21"/>
          <w:szCs w:val="21"/>
        </w:rPr>
        <w:t>投标人代表签字：</w:t>
      </w:r>
      <w:r>
        <w:rPr>
          <w:rFonts w:hint="eastAsia" w:ascii="宋体" w:hAnsi="宋体" w:eastAsia="宋体" w:cs="宋体"/>
          <w:sz w:val="21"/>
          <w:szCs w:val="21"/>
          <w:u w:val="single"/>
        </w:rPr>
        <w:t>                   </w:t>
      </w:r>
    </w:p>
    <w:p>
      <w:pPr>
        <w:pStyle w:val="17"/>
        <w:keepNext w:val="0"/>
        <w:keepLines w:val="0"/>
        <w:widowControl/>
        <w:suppressLineNumbers w:val="0"/>
      </w:pPr>
      <w:r>
        <w:rPr>
          <w:rFonts w:hint="eastAsia" w:ascii="宋体" w:hAnsi="宋体" w:eastAsia="宋体" w:cs="宋体"/>
          <w:sz w:val="21"/>
          <w:szCs w:val="21"/>
        </w:rPr>
        <w:t>日期：</w:t>
      </w:r>
      <w:r>
        <w:rPr>
          <w:rFonts w:hint="eastAsia" w:ascii="宋体" w:hAnsi="宋体" w:eastAsia="宋体" w:cs="宋体"/>
          <w:sz w:val="21"/>
          <w:szCs w:val="21"/>
          <w:u w:val="single"/>
        </w:rPr>
        <w:t>    </w:t>
      </w:r>
      <w:r>
        <w:rPr>
          <w:rFonts w:hint="eastAsia" w:ascii="宋体" w:hAnsi="宋体" w:eastAsia="宋体" w:cs="宋体"/>
          <w:sz w:val="21"/>
          <w:szCs w:val="21"/>
        </w:rPr>
        <w:t>年</w:t>
      </w:r>
      <w:r>
        <w:rPr>
          <w:rFonts w:hint="eastAsia" w:ascii="宋体" w:hAnsi="宋体" w:eastAsia="宋体" w:cs="宋体"/>
          <w:sz w:val="21"/>
          <w:szCs w:val="21"/>
          <w:u w:val="single"/>
        </w:rPr>
        <w:t>   </w:t>
      </w:r>
      <w:r>
        <w:rPr>
          <w:rFonts w:hint="eastAsia" w:ascii="宋体" w:hAnsi="宋体" w:eastAsia="宋体" w:cs="宋体"/>
          <w:sz w:val="21"/>
          <w:szCs w:val="21"/>
        </w:rPr>
        <w:t>月</w:t>
      </w:r>
      <w:r>
        <w:rPr>
          <w:rFonts w:hint="eastAsia" w:ascii="宋体" w:hAnsi="宋体" w:eastAsia="宋体" w:cs="宋体"/>
          <w:sz w:val="21"/>
          <w:szCs w:val="21"/>
          <w:u w:val="single"/>
        </w:rPr>
        <w:t>   </w:t>
      </w:r>
      <w:r>
        <w:rPr>
          <w:rFonts w:hint="eastAsia" w:ascii="宋体" w:hAnsi="宋体" w:eastAsia="宋体" w:cs="宋体"/>
          <w:sz w:val="21"/>
          <w:szCs w:val="21"/>
        </w:rPr>
        <w:t>日</w:t>
      </w:r>
    </w:p>
    <w:p>
      <w:pPr>
        <w:rPr>
          <w:rFonts w:ascii="宋体" w:hAnsi="宋体" w:eastAsia="宋体" w:cs="宋体"/>
          <w:kern w:val="0"/>
          <w:sz w:val="24"/>
          <w:szCs w:val="24"/>
        </w:rPr>
      </w:pPr>
      <w:r>
        <w:rPr>
          <w:rFonts w:ascii="宋体" w:hAnsi="宋体" w:eastAsia="宋体" w:cs="宋体"/>
          <w:kern w:val="0"/>
          <w:sz w:val="24"/>
          <w:szCs w:val="24"/>
        </w:rPr>
        <w:br w:type="page"/>
      </w:r>
    </w:p>
    <w:p>
      <w:pPr>
        <w:widowControl/>
        <w:jc w:val="left"/>
        <w:rPr>
          <w:rFonts w:ascii="宋体" w:hAnsi="宋体" w:eastAsia="宋体" w:cs="宋体"/>
          <w:kern w:val="0"/>
          <w:sz w:val="24"/>
          <w:szCs w:val="24"/>
        </w:rPr>
      </w:pPr>
    </w:p>
    <w:p>
      <w:pPr>
        <w:pStyle w:val="5"/>
      </w:pPr>
      <w:bookmarkStart w:id="11" w:name="_Toc26424"/>
      <w:r>
        <w:rPr>
          <w:rFonts w:hint="eastAsia"/>
        </w:rPr>
        <w:t>4</w:t>
      </w:r>
      <w:r>
        <w:t>、技术要求响应表</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8"/>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5"/>
      </w:pPr>
      <w:bookmarkStart w:id="12" w:name="_Toc24633"/>
      <w:r>
        <w:rPr>
          <w:rFonts w:hint="eastAsia"/>
        </w:rPr>
        <w:t>5</w:t>
      </w:r>
      <w:r>
        <w:t>、商务条件响应表</w:t>
      </w:r>
      <w:bookmarkEnd w:id="12"/>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8"/>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5"/>
      </w:pPr>
      <w:bookmarkStart w:id="13" w:name="_Toc25524"/>
      <w:r>
        <w:rPr>
          <w:rFonts w:hint="eastAsia"/>
        </w:rPr>
        <w:t>6</w:t>
      </w:r>
      <w:r>
        <w:t>、</w:t>
      </w:r>
      <w:r>
        <w:rPr>
          <w:rFonts w:hint="eastAsia"/>
        </w:rPr>
        <w:t>售后服务承诺函</w:t>
      </w:r>
      <w:bookmarkEnd w:id="13"/>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一、【按业主要求我司提供的售后服务标准列出】</w:t>
      </w:r>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b/>
      </w:rPr>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1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F1B494"/>
    <w:multiLevelType w:val="singleLevel"/>
    <w:tmpl w:val="C5F1B494"/>
    <w:lvl w:ilvl="0" w:tentative="0">
      <w:start w:val="1"/>
      <w:numFmt w:val="chineseCounting"/>
      <w:suff w:val="nothing"/>
      <w:lvlText w:val="%1、"/>
      <w:lvlJc w:val="left"/>
      <w:rPr>
        <w:rFonts w:hint="eastAsia"/>
      </w:rPr>
    </w:lvl>
  </w:abstractNum>
  <w:abstractNum w:abstractNumId="1">
    <w:nsid w:val="5A094BD0"/>
    <w:multiLevelType w:val="singleLevel"/>
    <w:tmpl w:val="5A094BD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36C7"/>
    <w:rsid w:val="00032E96"/>
    <w:rsid w:val="00046135"/>
    <w:rsid w:val="000B2720"/>
    <w:rsid w:val="000D4EB6"/>
    <w:rsid w:val="000D6F44"/>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B2396"/>
    <w:rsid w:val="003B75F5"/>
    <w:rsid w:val="003C2CA3"/>
    <w:rsid w:val="003D03C7"/>
    <w:rsid w:val="003F2F4D"/>
    <w:rsid w:val="00407E2C"/>
    <w:rsid w:val="0041229E"/>
    <w:rsid w:val="00417DC2"/>
    <w:rsid w:val="004277D0"/>
    <w:rsid w:val="004505A3"/>
    <w:rsid w:val="004542A1"/>
    <w:rsid w:val="004B2633"/>
    <w:rsid w:val="004B3DAD"/>
    <w:rsid w:val="004B3F97"/>
    <w:rsid w:val="004D0662"/>
    <w:rsid w:val="004E1853"/>
    <w:rsid w:val="005005FE"/>
    <w:rsid w:val="00543730"/>
    <w:rsid w:val="0055358B"/>
    <w:rsid w:val="005624F3"/>
    <w:rsid w:val="005821CA"/>
    <w:rsid w:val="005B4772"/>
    <w:rsid w:val="005D5D8E"/>
    <w:rsid w:val="005E7B4D"/>
    <w:rsid w:val="005E7BAB"/>
    <w:rsid w:val="0060325D"/>
    <w:rsid w:val="0062243F"/>
    <w:rsid w:val="0066787A"/>
    <w:rsid w:val="00691F96"/>
    <w:rsid w:val="006966E6"/>
    <w:rsid w:val="006A148F"/>
    <w:rsid w:val="007064F2"/>
    <w:rsid w:val="007156DD"/>
    <w:rsid w:val="007248C4"/>
    <w:rsid w:val="00734B3B"/>
    <w:rsid w:val="00740EC3"/>
    <w:rsid w:val="00793D48"/>
    <w:rsid w:val="007C386F"/>
    <w:rsid w:val="007C3B30"/>
    <w:rsid w:val="007D181F"/>
    <w:rsid w:val="007E218F"/>
    <w:rsid w:val="007F23C2"/>
    <w:rsid w:val="0080797A"/>
    <w:rsid w:val="00813FFE"/>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94B1F"/>
    <w:rsid w:val="009A3126"/>
    <w:rsid w:val="009F35B6"/>
    <w:rsid w:val="009F76F7"/>
    <w:rsid w:val="00A477CE"/>
    <w:rsid w:val="00A67A3F"/>
    <w:rsid w:val="00A72C8F"/>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619D"/>
    <w:rsid w:val="00C203A4"/>
    <w:rsid w:val="00C316D3"/>
    <w:rsid w:val="00C733FE"/>
    <w:rsid w:val="00CB5CE4"/>
    <w:rsid w:val="00CC50FA"/>
    <w:rsid w:val="00CD67F8"/>
    <w:rsid w:val="00D02B6F"/>
    <w:rsid w:val="00D534B4"/>
    <w:rsid w:val="00D9797B"/>
    <w:rsid w:val="00DA7C03"/>
    <w:rsid w:val="00DB7483"/>
    <w:rsid w:val="00E46A5A"/>
    <w:rsid w:val="00E541A9"/>
    <w:rsid w:val="00E56762"/>
    <w:rsid w:val="00E86EA0"/>
    <w:rsid w:val="00E87A1D"/>
    <w:rsid w:val="00ED3E3A"/>
    <w:rsid w:val="00ED6B99"/>
    <w:rsid w:val="00F37F85"/>
    <w:rsid w:val="00F462D3"/>
    <w:rsid w:val="00F50C66"/>
    <w:rsid w:val="00F8124F"/>
    <w:rsid w:val="00F955FD"/>
    <w:rsid w:val="00FF3404"/>
    <w:rsid w:val="0186520A"/>
    <w:rsid w:val="01CA7D71"/>
    <w:rsid w:val="025414A3"/>
    <w:rsid w:val="0442406A"/>
    <w:rsid w:val="055B3DF5"/>
    <w:rsid w:val="0A023D0A"/>
    <w:rsid w:val="0CBA46CE"/>
    <w:rsid w:val="0DDE514A"/>
    <w:rsid w:val="0E1D2F35"/>
    <w:rsid w:val="12B62D6C"/>
    <w:rsid w:val="13E94009"/>
    <w:rsid w:val="14F55B24"/>
    <w:rsid w:val="15747306"/>
    <w:rsid w:val="177579D4"/>
    <w:rsid w:val="195B7226"/>
    <w:rsid w:val="1C9661C2"/>
    <w:rsid w:val="2003214F"/>
    <w:rsid w:val="20903B57"/>
    <w:rsid w:val="224123EA"/>
    <w:rsid w:val="240132F4"/>
    <w:rsid w:val="27EF30AF"/>
    <w:rsid w:val="281F6275"/>
    <w:rsid w:val="2A776C51"/>
    <w:rsid w:val="2A8F3ACE"/>
    <w:rsid w:val="2AA62A27"/>
    <w:rsid w:val="2C640104"/>
    <w:rsid w:val="2F166109"/>
    <w:rsid w:val="30D22F66"/>
    <w:rsid w:val="32692307"/>
    <w:rsid w:val="353A00A7"/>
    <w:rsid w:val="36045A42"/>
    <w:rsid w:val="38435B0E"/>
    <w:rsid w:val="38641FE2"/>
    <w:rsid w:val="394D7956"/>
    <w:rsid w:val="399A33E9"/>
    <w:rsid w:val="3ADB7028"/>
    <w:rsid w:val="408E7458"/>
    <w:rsid w:val="41585E34"/>
    <w:rsid w:val="43223A4C"/>
    <w:rsid w:val="456E3B2A"/>
    <w:rsid w:val="48402E9E"/>
    <w:rsid w:val="49153BC2"/>
    <w:rsid w:val="4A210D79"/>
    <w:rsid w:val="4E705210"/>
    <w:rsid w:val="4F4E4535"/>
    <w:rsid w:val="4F8945F8"/>
    <w:rsid w:val="528C770B"/>
    <w:rsid w:val="53637492"/>
    <w:rsid w:val="54CE2685"/>
    <w:rsid w:val="5538484B"/>
    <w:rsid w:val="56A73B4F"/>
    <w:rsid w:val="57B3603C"/>
    <w:rsid w:val="5D3F0E19"/>
    <w:rsid w:val="5E333472"/>
    <w:rsid w:val="62E65DE6"/>
    <w:rsid w:val="654827AB"/>
    <w:rsid w:val="65C544DA"/>
    <w:rsid w:val="660F705E"/>
    <w:rsid w:val="6740609C"/>
    <w:rsid w:val="67B1191C"/>
    <w:rsid w:val="68094B24"/>
    <w:rsid w:val="69A60258"/>
    <w:rsid w:val="6B3A69DE"/>
    <w:rsid w:val="6C692F56"/>
    <w:rsid w:val="6FC32B6E"/>
    <w:rsid w:val="70820A2A"/>
    <w:rsid w:val="70A131A5"/>
    <w:rsid w:val="72796D7C"/>
    <w:rsid w:val="7B1277D0"/>
    <w:rsid w:val="7B603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5">
    <w:name w:val="heading 2"/>
    <w:basedOn w:val="1"/>
    <w:next w:val="1"/>
    <w:link w:val="21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219"/>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30"/>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rPr>
      <w:rFonts w:cs="Arial"/>
      <w:sz w:val="24"/>
      <w:szCs w:val="20"/>
    </w:rPr>
  </w:style>
  <w:style w:type="paragraph" w:styleId="8">
    <w:name w:val="Body Text"/>
    <w:basedOn w:val="1"/>
    <w:qFormat/>
    <w:uiPriority w:val="0"/>
    <w:pPr>
      <w:spacing w:line="380" w:lineRule="exact"/>
    </w:pPr>
    <w:rPr>
      <w:kern w:val="1"/>
      <w:sz w:val="24"/>
    </w:rPr>
  </w:style>
  <w:style w:type="paragraph" w:styleId="9">
    <w:name w:val="toc 3"/>
    <w:basedOn w:val="1"/>
    <w:next w:val="1"/>
    <w:unhideWhenUsed/>
    <w:qFormat/>
    <w:uiPriority w:val="39"/>
    <w:pPr>
      <w:ind w:left="840" w:leftChars="400"/>
    </w:pPr>
  </w:style>
  <w:style w:type="paragraph" w:styleId="10">
    <w:name w:val="Plain Text"/>
    <w:basedOn w:val="1"/>
    <w:qFormat/>
    <w:uiPriority w:val="0"/>
    <w:rPr>
      <w:rFonts w:ascii="宋体" w:hAnsi="Courier New"/>
      <w:sz w:val="21"/>
      <w:szCs w:val="20"/>
    </w:rPr>
  </w:style>
  <w:style w:type="paragraph" w:styleId="11">
    <w:name w:val="Balloon Text"/>
    <w:basedOn w:val="1"/>
    <w:link w:val="222"/>
    <w:semiHidden/>
    <w:unhideWhenUsed/>
    <w:qFormat/>
    <w:uiPriority w:val="99"/>
    <w:rPr>
      <w:sz w:val="18"/>
      <w:szCs w:val="18"/>
    </w:rPr>
  </w:style>
  <w:style w:type="paragraph" w:styleId="12">
    <w:name w:val="footer"/>
    <w:basedOn w:val="1"/>
    <w:link w:val="217"/>
    <w:unhideWhenUsed/>
    <w:qFormat/>
    <w:uiPriority w:val="99"/>
    <w:pPr>
      <w:tabs>
        <w:tab w:val="center" w:pos="4153"/>
        <w:tab w:val="right" w:pos="8306"/>
      </w:tabs>
      <w:snapToGrid w:val="0"/>
      <w:jc w:val="left"/>
    </w:pPr>
    <w:rPr>
      <w:sz w:val="18"/>
      <w:szCs w:val="18"/>
    </w:rPr>
  </w:style>
  <w:style w:type="paragraph" w:styleId="13">
    <w:name w:val="header"/>
    <w:basedOn w:val="1"/>
    <w:link w:val="216"/>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oc 2"/>
    <w:basedOn w:val="1"/>
    <w:next w:val="1"/>
    <w:unhideWhenUsed/>
    <w:qFormat/>
    <w:uiPriority w:val="39"/>
    <w:pPr>
      <w:ind w:left="420" w:leftChars="200"/>
    </w:pPr>
  </w:style>
  <w:style w:type="paragraph" w:styleId="16">
    <w:name w:val="HTML Preformatted"/>
    <w:basedOn w:val="1"/>
    <w:link w:val="3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7">
    <w:name w:val="Normal (Web)"/>
    <w:basedOn w:val="1"/>
    <w:unhideWhenUsed/>
    <w:qFormat/>
    <w:uiPriority w:val="99"/>
    <w:pPr>
      <w:widowControl/>
      <w:jc w:val="left"/>
    </w:pPr>
    <w:rPr>
      <w:rFonts w:ascii="宋体" w:hAnsi="宋体" w:eastAsia="宋体" w:cs="宋体"/>
      <w:kern w:val="0"/>
      <w:sz w:val="24"/>
      <w:szCs w:val="24"/>
    </w:r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22"/>
    <w:rPr>
      <w:b/>
      <w:bCs/>
    </w:rPr>
  </w:style>
  <w:style w:type="character" w:styleId="22">
    <w:name w:val="FollowedHyperlink"/>
    <w:basedOn w:val="20"/>
    <w:semiHidden/>
    <w:unhideWhenUsed/>
    <w:qFormat/>
    <w:uiPriority w:val="99"/>
    <w:rPr>
      <w:color w:val="551A8B"/>
      <w:u w:val="none"/>
    </w:rPr>
  </w:style>
  <w:style w:type="character" w:styleId="23">
    <w:name w:val="HTML Definition"/>
    <w:basedOn w:val="20"/>
    <w:semiHidden/>
    <w:unhideWhenUsed/>
    <w:qFormat/>
    <w:uiPriority w:val="99"/>
    <w:rPr>
      <w:i/>
      <w:iCs/>
    </w:rPr>
  </w:style>
  <w:style w:type="character" w:styleId="24">
    <w:name w:val="Hyperlink"/>
    <w:basedOn w:val="20"/>
    <w:unhideWhenUsed/>
    <w:qFormat/>
    <w:uiPriority w:val="99"/>
    <w:rPr>
      <w:color w:val="0000EE"/>
      <w:u w:val="none"/>
    </w:rPr>
  </w:style>
  <w:style w:type="character" w:styleId="25">
    <w:name w:val="HTML Code"/>
    <w:basedOn w:val="20"/>
    <w:semiHidden/>
    <w:unhideWhenUsed/>
    <w:qFormat/>
    <w:uiPriority w:val="99"/>
    <w:rPr>
      <w:rFonts w:hint="default" w:ascii="Courier New" w:hAnsi="Courier New" w:eastAsia="宋体" w:cs="宋体"/>
      <w:sz w:val="24"/>
      <w:szCs w:val="24"/>
    </w:rPr>
  </w:style>
  <w:style w:type="character" w:styleId="26">
    <w:name w:val="HTML Keyboard"/>
    <w:basedOn w:val="20"/>
    <w:semiHidden/>
    <w:unhideWhenUsed/>
    <w:qFormat/>
    <w:uiPriority w:val="99"/>
    <w:rPr>
      <w:rFonts w:hint="default" w:ascii="Courier New" w:hAnsi="Courier New" w:eastAsia="宋体" w:cs="宋体"/>
      <w:sz w:val="24"/>
      <w:szCs w:val="24"/>
    </w:rPr>
  </w:style>
  <w:style w:type="character" w:styleId="27">
    <w:name w:val="HTML Sample"/>
    <w:basedOn w:val="20"/>
    <w:semiHidden/>
    <w:unhideWhenUsed/>
    <w:qFormat/>
    <w:uiPriority w:val="99"/>
    <w:rPr>
      <w:rFonts w:hint="default" w:ascii="Courier New" w:hAnsi="Courier New" w:eastAsia="宋体" w:cs="宋体"/>
      <w:sz w:val="24"/>
      <w:szCs w:val="24"/>
    </w:rPr>
  </w:style>
  <w:style w:type="paragraph" w:customStyle="1" w:styleId="28">
    <w:name w:val="样式 样式 左侧:  2 字符 + 左侧:  0.85 厘米 首行缩进:  2 字符1"/>
    <w:basedOn w:val="1"/>
    <w:qFormat/>
    <w:uiPriority w:val="0"/>
    <w:pPr>
      <w:ind w:left="482" w:firstLine="200"/>
    </w:pPr>
    <w:rPr>
      <w:rFonts w:cs="宋体"/>
      <w:szCs w:val="20"/>
    </w:rPr>
  </w:style>
  <w:style w:type="character" w:customStyle="1" w:styleId="29">
    <w:name w:val="标题 1 Char"/>
    <w:basedOn w:val="20"/>
    <w:link w:val="4"/>
    <w:qFormat/>
    <w:uiPriority w:val="9"/>
    <w:rPr>
      <w:rFonts w:ascii="宋体" w:hAnsi="宋体" w:eastAsia="宋体" w:cs="宋体"/>
      <w:b/>
      <w:bCs/>
      <w:kern w:val="36"/>
      <w:sz w:val="48"/>
      <w:szCs w:val="48"/>
    </w:rPr>
  </w:style>
  <w:style w:type="character" w:customStyle="1" w:styleId="30">
    <w:name w:val="标题 4 Char"/>
    <w:basedOn w:val="20"/>
    <w:link w:val="7"/>
    <w:qFormat/>
    <w:uiPriority w:val="9"/>
    <w:rPr>
      <w:rFonts w:ascii="宋体" w:hAnsi="宋体" w:eastAsia="宋体" w:cs="宋体"/>
      <w:b/>
      <w:bCs/>
      <w:kern w:val="0"/>
      <w:sz w:val="24"/>
      <w:szCs w:val="24"/>
    </w:rPr>
  </w:style>
  <w:style w:type="character" w:customStyle="1" w:styleId="31">
    <w:name w:val="HTML 预设格式 Char"/>
    <w:basedOn w:val="20"/>
    <w:link w:val="16"/>
    <w:semiHidden/>
    <w:qFormat/>
    <w:uiPriority w:val="99"/>
    <w:rPr>
      <w:rFonts w:ascii="Courier New" w:hAnsi="Courier New" w:eastAsia="宋体" w:cs="宋体"/>
      <w:kern w:val="0"/>
      <w:sz w:val="24"/>
      <w:szCs w:val="24"/>
    </w:rPr>
  </w:style>
  <w:style w:type="paragraph" w:customStyle="1" w:styleId="32">
    <w:name w:val="msonormal"/>
    <w:basedOn w:val="1"/>
    <w:qFormat/>
    <w:uiPriority w:val="0"/>
    <w:pPr>
      <w:widowControl/>
      <w:jc w:val="left"/>
    </w:pPr>
    <w:rPr>
      <w:rFonts w:ascii="宋体" w:hAnsi="宋体" w:eastAsia="宋体" w:cs="宋体"/>
      <w:kern w:val="0"/>
      <w:sz w:val="24"/>
      <w:szCs w:val="24"/>
    </w:rPr>
  </w:style>
  <w:style w:type="paragraph" w:customStyle="1" w:styleId="33">
    <w:name w:val="ir"/>
    <w:basedOn w:val="1"/>
    <w:qFormat/>
    <w:uiPriority w:val="0"/>
    <w:pPr>
      <w:widowControl/>
      <w:ind w:firstLine="22384"/>
      <w:jc w:val="left"/>
    </w:pPr>
    <w:rPr>
      <w:rFonts w:ascii="宋体" w:hAnsi="宋体" w:eastAsia="宋体" w:cs="宋体"/>
      <w:kern w:val="0"/>
      <w:sz w:val="24"/>
      <w:szCs w:val="24"/>
    </w:rPr>
  </w:style>
  <w:style w:type="paragraph" w:customStyle="1" w:styleId="34">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5">
    <w:name w:val="image"/>
    <w:basedOn w:val="1"/>
    <w:qFormat/>
    <w:uiPriority w:val="0"/>
    <w:pPr>
      <w:widowControl/>
      <w:jc w:val="left"/>
    </w:pPr>
    <w:rPr>
      <w:rFonts w:ascii="宋体" w:hAnsi="宋体" w:eastAsia="宋体" w:cs="宋体"/>
      <w:kern w:val="0"/>
      <w:sz w:val="24"/>
      <w:szCs w:val="24"/>
    </w:rPr>
  </w:style>
  <w:style w:type="paragraph" w:customStyle="1" w:styleId="36">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7">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8">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9">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0">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41">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2">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3">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4">
    <w:name w:val="pag_box3"/>
    <w:basedOn w:val="1"/>
    <w:qFormat/>
    <w:uiPriority w:val="0"/>
    <w:pPr>
      <w:widowControl/>
      <w:spacing w:before="150"/>
      <w:jc w:val="left"/>
    </w:pPr>
    <w:rPr>
      <w:rFonts w:ascii="宋体" w:hAnsi="宋体" w:eastAsia="宋体" w:cs="宋体"/>
      <w:kern w:val="0"/>
      <w:sz w:val="24"/>
      <w:szCs w:val="24"/>
    </w:rPr>
  </w:style>
  <w:style w:type="paragraph" w:customStyle="1" w:styleId="45">
    <w:name w:val="pag_box3b"/>
    <w:basedOn w:val="1"/>
    <w:qFormat/>
    <w:uiPriority w:val="0"/>
    <w:pPr>
      <w:widowControl/>
      <w:spacing w:before="150"/>
      <w:jc w:val="left"/>
    </w:pPr>
    <w:rPr>
      <w:rFonts w:ascii="宋体" w:hAnsi="宋体" w:eastAsia="宋体" w:cs="宋体"/>
      <w:kern w:val="0"/>
      <w:sz w:val="24"/>
      <w:szCs w:val="24"/>
    </w:rPr>
  </w:style>
  <w:style w:type="paragraph" w:customStyle="1" w:styleId="46">
    <w:name w:val="pag_box4"/>
    <w:basedOn w:val="1"/>
    <w:qFormat/>
    <w:uiPriority w:val="0"/>
    <w:pPr>
      <w:widowControl/>
      <w:jc w:val="left"/>
    </w:pPr>
    <w:rPr>
      <w:rFonts w:ascii="宋体" w:hAnsi="宋体" w:eastAsia="宋体" w:cs="宋体"/>
      <w:kern w:val="0"/>
      <w:sz w:val="24"/>
      <w:szCs w:val="24"/>
    </w:rPr>
  </w:style>
  <w:style w:type="paragraph" w:customStyle="1" w:styleId="47">
    <w:name w:val="pag_box15"/>
    <w:basedOn w:val="1"/>
    <w:qFormat/>
    <w:uiPriority w:val="0"/>
    <w:pPr>
      <w:widowControl/>
      <w:jc w:val="left"/>
    </w:pPr>
    <w:rPr>
      <w:rFonts w:ascii="宋体" w:hAnsi="宋体" w:eastAsia="宋体" w:cs="宋体"/>
      <w:kern w:val="0"/>
      <w:sz w:val="24"/>
      <w:szCs w:val="24"/>
    </w:rPr>
  </w:style>
  <w:style w:type="paragraph" w:customStyle="1" w:styleId="48">
    <w:name w:val="pag_box15b"/>
    <w:basedOn w:val="1"/>
    <w:qFormat/>
    <w:uiPriority w:val="0"/>
    <w:pPr>
      <w:widowControl/>
      <w:jc w:val="left"/>
    </w:pPr>
    <w:rPr>
      <w:rFonts w:ascii="宋体" w:hAnsi="宋体" w:eastAsia="宋体" w:cs="宋体"/>
      <w:kern w:val="0"/>
      <w:sz w:val="24"/>
      <w:szCs w:val="24"/>
    </w:rPr>
  </w:style>
  <w:style w:type="paragraph" w:customStyle="1" w:styleId="49">
    <w:name w:val="pag_box5"/>
    <w:basedOn w:val="1"/>
    <w:qFormat/>
    <w:uiPriority w:val="0"/>
    <w:pPr>
      <w:widowControl/>
      <w:jc w:val="left"/>
    </w:pPr>
    <w:rPr>
      <w:rFonts w:ascii="宋体" w:hAnsi="宋体" w:eastAsia="宋体" w:cs="宋体"/>
      <w:kern w:val="0"/>
      <w:sz w:val="24"/>
      <w:szCs w:val="24"/>
    </w:rPr>
  </w:style>
  <w:style w:type="paragraph" w:customStyle="1" w:styleId="50">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51">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52">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53">
    <w:name w:val="pag_box8"/>
    <w:basedOn w:val="1"/>
    <w:qFormat/>
    <w:uiPriority w:val="0"/>
    <w:pPr>
      <w:widowControl/>
      <w:jc w:val="left"/>
    </w:pPr>
    <w:rPr>
      <w:rFonts w:ascii="宋体" w:hAnsi="宋体" w:eastAsia="宋体" w:cs="宋体"/>
      <w:kern w:val="0"/>
      <w:sz w:val="24"/>
      <w:szCs w:val="24"/>
    </w:rPr>
  </w:style>
  <w:style w:type="paragraph" w:customStyle="1" w:styleId="54">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5">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6">
    <w:name w:val="pag_box11"/>
    <w:basedOn w:val="1"/>
    <w:qFormat/>
    <w:uiPriority w:val="0"/>
    <w:pPr>
      <w:widowControl/>
      <w:jc w:val="left"/>
    </w:pPr>
    <w:rPr>
      <w:rFonts w:ascii="宋体" w:hAnsi="宋体" w:eastAsia="宋体" w:cs="宋体"/>
      <w:kern w:val="0"/>
      <w:sz w:val="24"/>
      <w:szCs w:val="24"/>
    </w:rPr>
  </w:style>
  <w:style w:type="paragraph" w:customStyle="1" w:styleId="57">
    <w:name w:val="pag_box12"/>
    <w:basedOn w:val="1"/>
    <w:qFormat/>
    <w:uiPriority w:val="0"/>
    <w:pPr>
      <w:widowControl/>
      <w:jc w:val="left"/>
    </w:pPr>
    <w:rPr>
      <w:rFonts w:ascii="宋体" w:hAnsi="宋体" w:eastAsia="宋体" w:cs="宋体"/>
      <w:kern w:val="0"/>
      <w:sz w:val="24"/>
      <w:szCs w:val="24"/>
    </w:rPr>
  </w:style>
  <w:style w:type="paragraph" w:customStyle="1" w:styleId="58">
    <w:name w:val="pag_box13"/>
    <w:basedOn w:val="1"/>
    <w:qFormat/>
    <w:uiPriority w:val="0"/>
    <w:pPr>
      <w:widowControl/>
      <w:jc w:val="left"/>
    </w:pPr>
    <w:rPr>
      <w:rFonts w:ascii="宋体" w:hAnsi="宋体" w:eastAsia="宋体" w:cs="宋体"/>
      <w:kern w:val="0"/>
      <w:sz w:val="24"/>
      <w:szCs w:val="24"/>
    </w:rPr>
  </w:style>
  <w:style w:type="paragraph" w:customStyle="1" w:styleId="59">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60">
    <w:name w:val="pag_box16"/>
    <w:basedOn w:val="1"/>
    <w:qFormat/>
    <w:uiPriority w:val="0"/>
    <w:pPr>
      <w:widowControl/>
      <w:jc w:val="left"/>
    </w:pPr>
    <w:rPr>
      <w:rFonts w:ascii="宋体" w:hAnsi="宋体" w:eastAsia="宋体" w:cs="宋体"/>
      <w:kern w:val="0"/>
      <w:sz w:val="24"/>
      <w:szCs w:val="24"/>
    </w:rPr>
  </w:style>
  <w:style w:type="paragraph" w:customStyle="1" w:styleId="61">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62">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63">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4">
    <w:name w:val="pag_box21"/>
    <w:basedOn w:val="1"/>
    <w:qFormat/>
    <w:uiPriority w:val="0"/>
    <w:pPr>
      <w:widowControl/>
      <w:spacing w:before="450"/>
      <w:jc w:val="left"/>
    </w:pPr>
    <w:rPr>
      <w:rFonts w:ascii="宋体" w:hAnsi="宋体" w:eastAsia="宋体" w:cs="宋体"/>
      <w:kern w:val="0"/>
      <w:sz w:val="24"/>
      <w:szCs w:val="24"/>
    </w:rPr>
  </w:style>
  <w:style w:type="paragraph" w:customStyle="1" w:styleId="65">
    <w:name w:val="pag_box22"/>
    <w:basedOn w:val="1"/>
    <w:qFormat/>
    <w:uiPriority w:val="0"/>
    <w:pPr>
      <w:widowControl/>
      <w:jc w:val="left"/>
    </w:pPr>
    <w:rPr>
      <w:rFonts w:ascii="宋体" w:hAnsi="宋体" w:eastAsia="宋体" w:cs="宋体"/>
      <w:kern w:val="0"/>
      <w:sz w:val="24"/>
      <w:szCs w:val="24"/>
    </w:rPr>
  </w:style>
  <w:style w:type="paragraph" w:customStyle="1" w:styleId="66">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7">
    <w:name w:val="pag_box23"/>
    <w:basedOn w:val="1"/>
    <w:qFormat/>
    <w:uiPriority w:val="0"/>
    <w:pPr>
      <w:widowControl/>
      <w:ind w:left="90"/>
      <w:jc w:val="left"/>
    </w:pPr>
    <w:rPr>
      <w:rFonts w:ascii="宋体" w:hAnsi="宋体" w:eastAsia="宋体" w:cs="宋体"/>
      <w:kern w:val="0"/>
      <w:sz w:val="24"/>
      <w:szCs w:val="24"/>
    </w:rPr>
  </w:style>
  <w:style w:type="paragraph" w:customStyle="1" w:styleId="68">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9">
    <w:name w:val="pag_box24"/>
    <w:basedOn w:val="1"/>
    <w:qFormat/>
    <w:uiPriority w:val="0"/>
    <w:pPr>
      <w:widowControl/>
      <w:ind w:left="90"/>
      <w:jc w:val="left"/>
    </w:pPr>
    <w:rPr>
      <w:rFonts w:ascii="宋体" w:hAnsi="宋体" w:eastAsia="宋体" w:cs="宋体"/>
      <w:kern w:val="0"/>
      <w:sz w:val="24"/>
      <w:szCs w:val="24"/>
    </w:rPr>
  </w:style>
  <w:style w:type="paragraph" w:customStyle="1" w:styleId="70">
    <w:name w:val="pag_box25"/>
    <w:basedOn w:val="1"/>
    <w:qFormat/>
    <w:uiPriority w:val="0"/>
    <w:pPr>
      <w:widowControl/>
      <w:ind w:left="90"/>
      <w:jc w:val="left"/>
    </w:pPr>
    <w:rPr>
      <w:rFonts w:ascii="宋体" w:hAnsi="宋体" w:eastAsia="宋体" w:cs="宋体"/>
      <w:kern w:val="0"/>
      <w:sz w:val="24"/>
      <w:szCs w:val="24"/>
    </w:rPr>
  </w:style>
  <w:style w:type="paragraph" w:customStyle="1" w:styleId="71">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72">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73">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4">
    <w:name w:val="pag_box27"/>
    <w:basedOn w:val="1"/>
    <w:qFormat/>
    <w:uiPriority w:val="0"/>
    <w:pPr>
      <w:widowControl/>
      <w:spacing w:before="300"/>
      <w:jc w:val="left"/>
    </w:pPr>
    <w:rPr>
      <w:rFonts w:ascii="宋体" w:hAnsi="宋体" w:eastAsia="宋体" w:cs="宋体"/>
      <w:kern w:val="0"/>
      <w:sz w:val="24"/>
      <w:szCs w:val="24"/>
    </w:rPr>
  </w:style>
  <w:style w:type="paragraph" w:customStyle="1" w:styleId="75">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6">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7">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8">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9">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80">
    <w:name w:val="pag_box30"/>
    <w:basedOn w:val="1"/>
    <w:qFormat/>
    <w:uiPriority w:val="0"/>
    <w:pPr>
      <w:widowControl/>
      <w:spacing w:before="180"/>
      <w:jc w:val="left"/>
    </w:pPr>
    <w:rPr>
      <w:rFonts w:ascii="宋体" w:hAnsi="宋体" w:eastAsia="宋体" w:cs="宋体"/>
      <w:kern w:val="0"/>
      <w:sz w:val="24"/>
      <w:szCs w:val="24"/>
    </w:rPr>
  </w:style>
  <w:style w:type="paragraph" w:customStyle="1" w:styleId="81">
    <w:name w:val="pag_box31"/>
    <w:basedOn w:val="1"/>
    <w:qFormat/>
    <w:uiPriority w:val="0"/>
    <w:pPr>
      <w:widowControl/>
      <w:spacing w:before="630"/>
      <w:jc w:val="left"/>
    </w:pPr>
    <w:rPr>
      <w:rFonts w:ascii="宋体" w:hAnsi="宋体" w:eastAsia="宋体" w:cs="宋体"/>
      <w:kern w:val="0"/>
      <w:sz w:val="24"/>
      <w:szCs w:val="24"/>
    </w:rPr>
  </w:style>
  <w:style w:type="paragraph" w:customStyle="1" w:styleId="82">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83">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4">
    <w:name w:val="pag_box32"/>
    <w:basedOn w:val="1"/>
    <w:qFormat/>
    <w:uiPriority w:val="0"/>
    <w:pPr>
      <w:widowControl/>
      <w:ind w:right="300"/>
      <w:jc w:val="left"/>
    </w:pPr>
    <w:rPr>
      <w:rFonts w:ascii="宋体" w:hAnsi="宋体" w:eastAsia="宋体" w:cs="宋体"/>
      <w:kern w:val="0"/>
      <w:sz w:val="24"/>
      <w:szCs w:val="24"/>
    </w:rPr>
  </w:style>
  <w:style w:type="paragraph" w:customStyle="1" w:styleId="85">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6">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7">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8">
    <w:name w:val="pag_box34b"/>
    <w:basedOn w:val="1"/>
    <w:qFormat/>
    <w:uiPriority w:val="0"/>
    <w:pPr>
      <w:widowControl/>
      <w:spacing w:before="300"/>
      <w:jc w:val="left"/>
    </w:pPr>
    <w:rPr>
      <w:rFonts w:ascii="宋体" w:hAnsi="宋体" w:eastAsia="宋体" w:cs="宋体"/>
      <w:kern w:val="0"/>
      <w:sz w:val="24"/>
      <w:szCs w:val="24"/>
    </w:rPr>
  </w:style>
  <w:style w:type="paragraph" w:customStyle="1" w:styleId="89">
    <w:name w:val="pag_text24"/>
    <w:basedOn w:val="1"/>
    <w:qFormat/>
    <w:uiPriority w:val="0"/>
    <w:pPr>
      <w:widowControl/>
      <w:jc w:val="left"/>
    </w:pPr>
    <w:rPr>
      <w:rFonts w:ascii="宋体" w:hAnsi="宋体" w:eastAsia="宋体" w:cs="宋体"/>
      <w:kern w:val="0"/>
      <w:sz w:val="24"/>
      <w:szCs w:val="24"/>
    </w:rPr>
  </w:style>
  <w:style w:type="paragraph" w:customStyle="1" w:styleId="90">
    <w:name w:val="pag_box35"/>
    <w:basedOn w:val="1"/>
    <w:qFormat/>
    <w:uiPriority w:val="0"/>
    <w:pPr>
      <w:widowControl/>
      <w:spacing w:before="900"/>
      <w:jc w:val="left"/>
    </w:pPr>
    <w:rPr>
      <w:rFonts w:ascii="宋体" w:hAnsi="宋体" w:eastAsia="宋体" w:cs="宋体"/>
      <w:kern w:val="0"/>
      <w:sz w:val="24"/>
      <w:szCs w:val="24"/>
    </w:rPr>
  </w:style>
  <w:style w:type="paragraph" w:customStyle="1" w:styleId="91">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92">
    <w:name w:val="pag_box18"/>
    <w:basedOn w:val="1"/>
    <w:qFormat/>
    <w:uiPriority w:val="0"/>
    <w:pPr>
      <w:widowControl/>
      <w:jc w:val="left"/>
    </w:pPr>
    <w:rPr>
      <w:rFonts w:ascii="宋体" w:hAnsi="宋体" w:eastAsia="宋体" w:cs="宋体"/>
      <w:kern w:val="0"/>
      <w:sz w:val="24"/>
      <w:szCs w:val="24"/>
    </w:rPr>
  </w:style>
  <w:style w:type="paragraph" w:customStyle="1" w:styleId="93">
    <w:name w:val="pag_formgroup"/>
    <w:basedOn w:val="1"/>
    <w:qFormat/>
    <w:uiPriority w:val="0"/>
    <w:pPr>
      <w:widowControl/>
      <w:jc w:val="left"/>
    </w:pPr>
    <w:rPr>
      <w:rFonts w:ascii="宋体" w:hAnsi="宋体" w:eastAsia="宋体" w:cs="宋体"/>
      <w:kern w:val="0"/>
      <w:sz w:val="24"/>
      <w:szCs w:val="24"/>
    </w:rPr>
  </w:style>
  <w:style w:type="paragraph" w:customStyle="1" w:styleId="94">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5">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6">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7">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8">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9">
    <w:name w:val="pag_image2"/>
    <w:basedOn w:val="1"/>
    <w:qFormat/>
    <w:uiPriority w:val="0"/>
    <w:pPr>
      <w:widowControl/>
      <w:jc w:val="left"/>
    </w:pPr>
    <w:rPr>
      <w:rFonts w:ascii="宋体" w:hAnsi="宋体" w:eastAsia="宋体" w:cs="宋体"/>
      <w:color w:val="000000"/>
      <w:kern w:val="0"/>
      <w:sz w:val="24"/>
      <w:szCs w:val="24"/>
    </w:rPr>
  </w:style>
  <w:style w:type="paragraph" w:customStyle="1" w:styleId="100">
    <w:name w:val="pag_box37"/>
    <w:basedOn w:val="1"/>
    <w:qFormat/>
    <w:uiPriority w:val="0"/>
    <w:pPr>
      <w:widowControl/>
      <w:spacing w:before="300"/>
      <w:jc w:val="left"/>
    </w:pPr>
    <w:rPr>
      <w:rFonts w:ascii="宋体" w:hAnsi="宋体" w:eastAsia="宋体" w:cs="宋体"/>
      <w:kern w:val="0"/>
      <w:sz w:val="24"/>
      <w:szCs w:val="24"/>
    </w:rPr>
  </w:style>
  <w:style w:type="paragraph" w:customStyle="1" w:styleId="101">
    <w:name w:val="pag_box38"/>
    <w:basedOn w:val="1"/>
    <w:qFormat/>
    <w:uiPriority w:val="0"/>
    <w:pPr>
      <w:widowControl/>
      <w:spacing w:before="300"/>
      <w:jc w:val="left"/>
    </w:pPr>
    <w:rPr>
      <w:rFonts w:ascii="宋体" w:hAnsi="宋体" w:eastAsia="宋体" w:cs="宋体"/>
      <w:kern w:val="0"/>
      <w:sz w:val="24"/>
      <w:szCs w:val="24"/>
    </w:rPr>
  </w:style>
  <w:style w:type="paragraph" w:customStyle="1" w:styleId="102">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103">
    <w:name w:val="pag_box40"/>
    <w:basedOn w:val="1"/>
    <w:qFormat/>
    <w:uiPriority w:val="0"/>
    <w:pPr>
      <w:widowControl/>
      <w:jc w:val="left"/>
    </w:pPr>
    <w:rPr>
      <w:rFonts w:ascii="宋体" w:hAnsi="宋体" w:eastAsia="宋体" w:cs="宋体"/>
      <w:kern w:val="0"/>
      <w:sz w:val="24"/>
      <w:szCs w:val="24"/>
    </w:rPr>
  </w:style>
  <w:style w:type="paragraph" w:customStyle="1" w:styleId="104">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5">
    <w:name w:val="pag_box43"/>
    <w:basedOn w:val="1"/>
    <w:qFormat/>
    <w:uiPriority w:val="0"/>
    <w:pPr>
      <w:widowControl/>
      <w:jc w:val="left"/>
    </w:pPr>
    <w:rPr>
      <w:rFonts w:ascii="宋体" w:hAnsi="宋体" w:eastAsia="宋体" w:cs="宋体"/>
      <w:kern w:val="0"/>
      <w:sz w:val="24"/>
      <w:szCs w:val="24"/>
    </w:rPr>
  </w:style>
  <w:style w:type="paragraph" w:customStyle="1" w:styleId="106">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7">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8">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9">
    <w:name w:val="subnavbox"/>
    <w:basedOn w:val="1"/>
    <w:qFormat/>
    <w:uiPriority w:val="0"/>
    <w:pPr>
      <w:widowControl/>
      <w:jc w:val="left"/>
    </w:pPr>
    <w:rPr>
      <w:rFonts w:ascii="宋体" w:hAnsi="宋体" w:eastAsia="宋体" w:cs="宋体"/>
      <w:kern w:val="0"/>
      <w:sz w:val="24"/>
      <w:szCs w:val="24"/>
    </w:rPr>
  </w:style>
  <w:style w:type="paragraph" w:customStyle="1" w:styleId="110">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11">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12">
    <w:name w:val="currentdt"/>
    <w:basedOn w:val="1"/>
    <w:qFormat/>
    <w:uiPriority w:val="0"/>
    <w:pPr>
      <w:widowControl/>
      <w:jc w:val="left"/>
    </w:pPr>
    <w:rPr>
      <w:rFonts w:ascii="宋体" w:hAnsi="宋体" w:eastAsia="宋体" w:cs="宋体"/>
      <w:kern w:val="0"/>
      <w:sz w:val="24"/>
      <w:szCs w:val="24"/>
    </w:rPr>
  </w:style>
  <w:style w:type="paragraph" w:customStyle="1" w:styleId="113">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4">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5">
    <w:name w:val="inx_box"/>
    <w:basedOn w:val="1"/>
    <w:qFormat/>
    <w:uiPriority w:val="0"/>
    <w:pPr>
      <w:widowControl/>
      <w:jc w:val="left"/>
    </w:pPr>
    <w:rPr>
      <w:rFonts w:ascii="宋体" w:hAnsi="宋体" w:eastAsia="宋体" w:cs="宋体"/>
      <w:kern w:val="0"/>
      <w:sz w:val="24"/>
      <w:szCs w:val="24"/>
    </w:rPr>
  </w:style>
  <w:style w:type="paragraph" w:customStyle="1" w:styleId="116">
    <w:name w:val="inx_image"/>
    <w:basedOn w:val="1"/>
    <w:qFormat/>
    <w:uiPriority w:val="0"/>
    <w:pPr>
      <w:widowControl/>
      <w:jc w:val="left"/>
    </w:pPr>
    <w:rPr>
      <w:rFonts w:ascii="宋体" w:hAnsi="宋体" w:eastAsia="宋体" w:cs="宋体"/>
      <w:color w:val="000000"/>
      <w:kern w:val="0"/>
      <w:sz w:val="24"/>
      <w:szCs w:val="24"/>
    </w:rPr>
  </w:style>
  <w:style w:type="paragraph" w:customStyle="1" w:styleId="117">
    <w:name w:val="inx_box1"/>
    <w:basedOn w:val="1"/>
    <w:qFormat/>
    <w:uiPriority w:val="0"/>
    <w:pPr>
      <w:widowControl/>
      <w:spacing w:before="540"/>
      <w:jc w:val="left"/>
    </w:pPr>
    <w:rPr>
      <w:rFonts w:ascii="宋体" w:hAnsi="宋体" w:eastAsia="宋体" w:cs="宋体"/>
      <w:kern w:val="0"/>
      <w:sz w:val="24"/>
      <w:szCs w:val="24"/>
    </w:rPr>
  </w:style>
  <w:style w:type="paragraph" w:customStyle="1" w:styleId="118">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9">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20">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21">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22">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23">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4">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5">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6">
    <w:name w:val="inx_box8"/>
    <w:basedOn w:val="1"/>
    <w:qFormat/>
    <w:uiPriority w:val="0"/>
    <w:pPr>
      <w:widowControl/>
      <w:spacing w:before="150"/>
      <w:jc w:val="left"/>
    </w:pPr>
    <w:rPr>
      <w:rFonts w:ascii="宋体" w:hAnsi="宋体" w:eastAsia="宋体" w:cs="宋体"/>
      <w:kern w:val="0"/>
      <w:sz w:val="24"/>
      <w:szCs w:val="24"/>
    </w:rPr>
  </w:style>
  <w:style w:type="paragraph" w:customStyle="1" w:styleId="127">
    <w:name w:val="inx_image1"/>
    <w:basedOn w:val="1"/>
    <w:qFormat/>
    <w:uiPriority w:val="0"/>
    <w:pPr>
      <w:widowControl/>
      <w:jc w:val="left"/>
    </w:pPr>
    <w:rPr>
      <w:rFonts w:ascii="宋体" w:hAnsi="宋体" w:eastAsia="宋体" w:cs="宋体"/>
      <w:color w:val="000000"/>
      <w:kern w:val="0"/>
      <w:sz w:val="24"/>
      <w:szCs w:val="24"/>
    </w:rPr>
  </w:style>
  <w:style w:type="paragraph" w:customStyle="1" w:styleId="128">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9">
    <w:name w:val="inx_box10"/>
    <w:basedOn w:val="1"/>
    <w:qFormat/>
    <w:uiPriority w:val="0"/>
    <w:pPr>
      <w:widowControl/>
      <w:spacing w:before="150"/>
      <w:jc w:val="left"/>
    </w:pPr>
    <w:rPr>
      <w:rFonts w:ascii="宋体" w:hAnsi="宋体" w:eastAsia="宋体" w:cs="宋体"/>
      <w:kern w:val="0"/>
      <w:sz w:val="24"/>
      <w:szCs w:val="24"/>
    </w:rPr>
  </w:style>
  <w:style w:type="paragraph" w:customStyle="1" w:styleId="130">
    <w:name w:val="inx_box11"/>
    <w:basedOn w:val="1"/>
    <w:qFormat/>
    <w:uiPriority w:val="0"/>
    <w:pPr>
      <w:widowControl/>
      <w:jc w:val="left"/>
    </w:pPr>
    <w:rPr>
      <w:rFonts w:ascii="宋体" w:hAnsi="宋体" w:eastAsia="宋体" w:cs="宋体"/>
      <w:kern w:val="0"/>
      <w:sz w:val="24"/>
      <w:szCs w:val="24"/>
    </w:rPr>
  </w:style>
  <w:style w:type="paragraph" w:customStyle="1" w:styleId="131">
    <w:name w:val="inx_image2"/>
    <w:basedOn w:val="1"/>
    <w:qFormat/>
    <w:uiPriority w:val="0"/>
    <w:pPr>
      <w:widowControl/>
      <w:jc w:val="left"/>
    </w:pPr>
    <w:rPr>
      <w:rFonts w:ascii="宋体" w:hAnsi="宋体" w:eastAsia="宋体" w:cs="宋体"/>
      <w:color w:val="000000"/>
      <w:kern w:val="0"/>
      <w:sz w:val="24"/>
      <w:szCs w:val="24"/>
    </w:rPr>
  </w:style>
  <w:style w:type="paragraph" w:customStyle="1" w:styleId="132">
    <w:name w:val="inx_box12"/>
    <w:basedOn w:val="1"/>
    <w:qFormat/>
    <w:uiPriority w:val="0"/>
    <w:pPr>
      <w:widowControl/>
      <w:jc w:val="left"/>
    </w:pPr>
    <w:rPr>
      <w:rFonts w:ascii="宋体" w:hAnsi="宋体" w:eastAsia="宋体" w:cs="宋体"/>
      <w:kern w:val="0"/>
      <w:sz w:val="24"/>
      <w:szCs w:val="24"/>
    </w:rPr>
  </w:style>
  <w:style w:type="paragraph" w:customStyle="1" w:styleId="133">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4">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5">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6">
    <w:name w:val="inx_box14"/>
    <w:basedOn w:val="1"/>
    <w:qFormat/>
    <w:uiPriority w:val="0"/>
    <w:pPr>
      <w:widowControl/>
      <w:ind w:left="240"/>
      <w:jc w:val="left"/>
    </w:pPr>
    <w:rPr>
      <w:rFonts w:ascii="宋体" w:hAnsi="宋体" w:eastAsia="宋体" w:cs="宋体"/>
      <w:kern w:val="0"/>
      <w:sz w:val="24"/>
      <w:szCs w:val="24"/>
    </w:rPr>
  </w:style>
  <w:style w:type="paragraph" w:customStyle="1" w:styleId="137">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8">
    <w:name w:val="inx_box15"/>
    <w:basedOn w:val="1"/>
    <w:qFormat/>
    <w:uiPriority w:val="0"/>
    <w:pPr>
      <w:widowControl/>
      <w:jc w:val="left"/>
    </w:pPr>
    <w:rPr>
      <w:rFonts w:ascii="宋体" w:hAnsi="宋体" w:eastAsia="宋体" w:cs="宋体"/>
      <w:kern w:val="0"/>
      <w:sz w:val="24"/>
      <w:szCs w:val="24"/>
    </w:rPr>
  </w:style>
  <w:style w:type="paragraph" w:customStyle="1" w:styleId="139">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40">
    <w:name w:val="inx_box16"/>
    <w:basedOn w:val="1"/>
    <w:qFormat/>
    <w:uiPriority w:val="0"/>
    <w:pPr>
      <w:widowControl/>
      <w:jc w:val="left"/>
    </w:pPr>
    <w:rPr>
      <w:rFonts w:ascii="宋体" w:hAnsi="宋体" w:eastAsia="宋体" w:cs="宋体"/>
      <w:kern w:val="0"/>
      <w:sz w:val="24"/>
      <w:szCs w:val="24"/>
    </w:rPr>
  </w:style>
  <w:style w:type="paragraph" w:customStyle="1" w:styleId="141">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42">
    <w:name w:val="inx_box17"/>
    <w:basedOn w:val="1"/>
    <w:qFormat/>
    <w:uiPriority w:val="0"/>
    <w:pPr>
      <w:widowControl/>
      <w:spacing w:before="150"/>
      <w:jc w:val="left"/>
    </w:pPr>
    <w:rPr>
      <w:rFonts w:ascii="宋体" w:hAnsi="宋体" w:eastAsia="宋体" w:cs="宋体"/>
      <w:kern w:val="0"/>
      <w:sz w:val="24"/>
      <w:szCs w:val="24"/>
    </w:rPr>
  </w:style>
  <w:style w:type="paragraph" w:customStyle="1" w:styleId="143">
    <w:name w:val="inx_box18"/>
    <w:basedOn w:val="1"/>
    <w:qFormat/>
    <w:uiPriority w:val="0"/>
    <w:pPr>
      <w:widowControl/>
      <w:spacing w:before="240"/>
      <w:jc w:val="left"/>
    </w:pPr>
    <w:rPr>
      <w:rFonts w:ascii="宋体" w:hAnsi="宋体" w:eastAsia="宋体" w:cs="宋体"/>
      <w:kern w:val="0"/>
      <w:sz w:val="24"/>
      <w:szCs w:val="24"/>
    </w:rPr>
  </w:style>
  <w:style w:type="paragraph" w:customStyle="1" w:styleId="144">
    <w:name w:val="inx_box19"/>
    <w:basedOn w:val="1"/>
    <w:qFormat/>
    <w:uiPriority w:val="0"/>
    <w:pPr>
      <w:widowControl/>
      <w:jc w:val="left"/>
    </w:pPr>
    <w:rPr>
      <w:rFonts w:ascii="宋体" w:hAnsi="宋体" w:eastAsia="宋体" w:cs="宋体"/>
      <w:kern w:val="0"/>
      <w:sz w:val="24"/>
      <w:szCs w:val="24"/>
    </w:rPr>
  </w:style>
  <w:style w:type="paragraph" w:customStyle="1" w:styleId="145">
    <w:name w:val="inx_box20"/>
    <w:basedOn w:val="1"/>
    <w:qFormat/>
    <w:uiPriority w:val="0"/>
    <w:pPr>
      <w:widowControl/>
      <w:spacing w:before="375"/>
      <w:jc w:val="left"/>
    </w:pPr>
    <w:rPr>
      <w:rFonts w:ascii="宋体" w:hAnsi="宋体" w:eastAsia="宋体" w:cs="宋体"/>
      <w:kern w:val="0"/>
      <w:sz w:val="24"/>
      <w:szCs w:val="24"/>
    </w:rPr>
  </w:style>
  <w:style w:type="paragraph" w:customStyle="1" w:styleId="146">
    <w:name w:val="inx_box22"/>
    <w:basedOn w:val="1"/>
    <w:qFormat/>
    <w:uiPriority w:val="0"/>
    <w:pPr>
      <w:widowControl/>
      <w:jc w:val="left"/>
    </w:pPr>
    <w:rPr>
      <w:rFonts w:ascii="宋体" w:hAnsi="宋体" w:eastAsia="宋体" w:cs="宋体"/>
      <w:kern w:val="0"/>
      <w:sz w:val="24"/>
      <w:szCs w:val="24"/>
    </w:rPr>
  </w:style>
  <w:style w:type="paragraph" w:customStyle="1" w:styleId="147">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8">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9">
    <w:name w:val="inx_box23c"/>
    <w:basedOn w:val="1"/>
    <w:qFormat/>
    <w:uiPriority w:val="0"/>
    <w:pPr>
      <w:widowControl/>
      <w:spacing w:before="150"/>
      <w:jc w:val="left"/>
    </w:pPr>
    <w:rPr>
      <w:rFonts w:ascii="宋体" w:hAnsi="宋体" w:eastAsia="宋体" w:cs="宋体"/>
      <w:kern w:val="0"/>
      <w:sz w:val="24"/>
      <w:szCs w:val="24"/>
    </w:rPr>
  </w:style>
  <w:style w:type="paragraph" w:customStyle="1" w:styleId="150">
    <w:name w:val="tbimg"/>
    <w:basedOn w:val="1"/>
    <w:qFormat/>
    <w:uiPriority w:val="0"/>
    <w:pPr>
      <w:widowControl/>
      <w:spacing w:before="90"/>
      <w:jc w:val="left"/>
    </w:pPr>
    <w:rPr>
      <w:rFonts w:ascii="宋体" w:hAnsi="宋体" w:eastAsia="宋体" w:cs="宋体"/>
      <w:kern w:val="0"/>
      <w:sz w:val="24"/>
      <w:szCs w:val="24"/>
    </w:rPr>
  </w:style>
  <w:style w:type="paragraph" w:customStyle="1" w:styleId="151">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52">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53">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4">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5">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6">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7">
    <w:name w:val="inx_text11"/>
    <w:basedOn w:val="1"/>
    <w:qFormat/>
    <w:uiPriority w:val="0"/>
    <w:pPr>
      <w:widowControl/>
      <w:spacing w:before="90"/>
      <w:jc w:val="left"/>
    </w:pPr>
    <w:rPr>
      <w:rFonts w:ascii="宋体" w:hAnsi="宋体" w:eastAsia="宋体" w:cs="宋体"/>
      <w:kern w:val="0"/>
      <w:sz w:val="24"/>
      <w:szCs w:val="24"/>
    </w:rPr>
  </w:style>
  <w:style w:type="paragraph" w:customStyle="1" w:styleId="158">
    <w:name w:val="inx_box28"/>
    <w:basedOn w:val="1"/>
    <w:qFormat/>
    <w:uiPriority w:val="0"/>
    <w:pPr>
      <w:widowControl/>
      <w:spacing w:before="240"/>
      <w:jc w:val="left"/>
    </w:pPr>
    <w:rPr>
      <w:rFonts w:ascii="宋体" w:hAnsi="宋体" w:eastAsia="宋体" w:cs="宋体"/>
      <w:kern w:val="0"/>
      <w:sz w:val="24"/>
      <w:szCs w:val="24"/>
    </w:rPr>
  </w:style>
  <w:style w:type="paragraph" w:customStyle="1" w:styleId="159">
    <w:name w:val="inx_image4"/>
    <w:basedOn w:val="1"/>
    <w:qFormat/>
    <w:uiPriority w:val="0"/>
    <w:pPr>
      <w:widowControl/>
      <w:jc w:val="left"/>
    </w:pPr>
    <w:rPr>
      <w:rFonts w:ascii="宋体" w:hAnsi="宋体" w:eastAsia="宋体" w:cs="宋体"/>
      <w:color w:val="000000"/>
      <w:kern w:val="0"/>
      <w:sz w:val="24"/>
      <w:szCs w:val="24"/>
    </w:rPr>
  </w:style>
  <w:style w:type="paragraph" w:customStyle="1" w:styleId="160">
    <w:name w:val="inx_box29"/>
    <w:basedOn w:val="1"/>
    <w:qFormat/>
    <w:uiPriority w:val="0"/>
    <w:pPr>
      <w:widowControl/>
      <w:spacing w:before="300"/>
      <w:jc w:val="left"/>
    </w:pPr>
    <w:rPr>
      <w:rFonts w:ascii="宋体" w:hAnsi="宋体" w:eastAsia="宋体" w:cs="宋体"/>
      <w:kern w:val="0"/>
      <w:sz w:val="24"/>
      <w:szCs w:val="24"/>
    </w:rPr>
  </w:style>
  <w:style w:type="paragraph" w:customStyle="1" w:styleId="161">
    <w:name w:val="inx_box30"/>
    <w:basedOn w:val="1"/>
    <w:qFormat/>
    <w:uiPriority w:val="0"/>
    <w:pPr>
      <w:widowControl/>
      <w:jc w:val="left"/>
    </w:pPr>
    <w:rPr>
      <w:rFonts w:ascii="宋体" w:hAnsi="宋体" w:eastAsia="宋体" w:cs="宋体"/>
      <w:kern w:val="0"/>
      <w:sz w:val="24"/>
      <w:szCs w:val="24"/>
    </w:rPr>
  </w:style>
  <w:style w:type="paragraph" w:customStyle="1" w:styleId="162">
    <w:name w:val="inx_box43"/>
    <w:basedOn w:val="1"/>
    <w:qFormat/>
    <w:uiPriority w:val="0"/>
    <w:pPr>
      <w:widowControl/>
      <w:jc w:val="left"/>
    </w:pPr>
    <w:rPr>
      <w:rFonts w:ascii="宋体" w:hAnsi="宋体" w:eastAsia="宋体" w:cs="宋体"/>
      <w:kern w:val="0"/>
      <w:sz w:val="24"/>
      <w:szCs w:val="24"/>
    </w:rPr>
  </w:style>
  <w:style w:type="paragraph" w:customStyle="1" w:styleId="163">
    <w:name w:val="inx_box21"/>
    <w:basedOn w:val="1"/>
    <w:qFormat/>
    <w:uiPriority w:val="0"/>
    <w:pPr>
      <w:widowControl/>
      <w:spacing w:after="225"/>
      <w:jc w:val="left"/>
    </w:pPr>
    <w:rPr>
      <w:rFonts w:ascii="宋体" w:hAnsi="宋体" w:eastAsia="宋体" w:cs="宋体"/>
      <w:kern w:val="0"/>
      <w:sz w:val="24"/>
      <w:szCs w:val="24"/>
    </w:rPr>
  </w:style>
  <w:style w:type="paragraph" w:customStyle="1" w:styleId="164">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5">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6">
    <w:name w:val="inx_box31"/>
    <w:basedOn w:val="1"/>
    <w:qFormat/>
    <w:uiPriority w:val="0"/>
    <w:pPr>
      <w:widowControl/>
      <w:jc w:val="left"/>
    </w:pPr>
    <w:rPr>
      <w:rFonts w:ascii="宋体" w:hAnsi="宋体" w:eastAsia="宋体" w:cs="宋体"/>
      <w:kern w:val="0"/>
      <w:sz w:val="24"/>
      <w:szCs w:val="24"/>
    </w:rPr>
  </w:style>
  <w:style w:type="paragraph" w:customStyle="1" w:styleId="167">
    <w:name w:val="inx_box33"/>
    <w:basedOn w:val="1"/>
    <w:qFormat/>
    <w:uiPriority w:val="0"/>
    <w:pPr>
      <w:widowControl/>
      <w:jc w:val="left"/>
    </w:pPr>
    <w:rPr>
      <w:rFonts w:ascii="宋体" w:hAnsi="宋体" w:eastAsia="宋体" w:cs="宋体"/>
      <w:kern w:val="0"/>
      <w:sz w:val="24"/>
      <w:szCs w:val="24"/>
    </w:rPr>
  </w:style>
  <w:style w:type="paragraph" w:customStyle="1" w:styleId="168">
    <w:name w:val="inx_box34"/>
    <w:basedOn w:val="1"/>
    <w:qFormat/>
    <w:uiPriority w:val="0"/>
    <w:pPr>
      <w:widowControl/>
      <w:jc w:val="left"/>
    </w:pPr>
    <w:rPr>
      <w:rFonts w:ascii="宋体" w:hAnsi="宋体" w:eastAsia="宋体" w:cs="宋体"/>
      <w:kern w:val="0"/>
      <w:sz w:val="24"/>
      <w:szCs w:val="24"/>
    </w:rPr>
  </w:style>
  <w:style w:type="paragraph" w:customStyle="1" w:styleId="169">
    <w:name w:val="inx_box35"/>
    <w:basedOn w:val="1"/>
    <w:qFormat/>
    <w:uiPriority w:val="0"/>
    <w:pPr>
      <w:widowControl/>
      <w:jc w:val="left"/>
    </w:pPr>
    <w:rPr>
      <w:rFonts w:ascii="宋体" w:hAnsi="宋体" w:eastAsia="宋体" w:cs="宋体"/>
      <w:kern w:val="0"/>
      <w:sz w:val="24"/>
      <w:szCs w:val="24"/>
    </w:rPr>
  </w:style>
  <w:style w:type="paragraph" w:customStyle="1" w:styleId="170">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71">
    <w:name w:val="inx_box36"/>
    <w:basedOn w:val="1"/>
    <w:qFormat/>
    <w:uiPriority w:val="0"/>
    <w:pPr>
      <w:widowControl/>
      <w:jc w:val="left"/>
    </w:pPr>
    <w:rPr>
      <w:rFonts w:ascii="宋体" w:hAnsi="宋体" w:eastAsia="宋体" w:cs="宋体"/>
      <w:kern w:val="0"/>
      <w:sz w:val="24"/>
      <w:szCs w:val="24"/>
    </w:rPr>
  </w:style>
  <w:style w:type="paragraph" w:customStyle="1" w:styleId="172">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73">
    <w:name w:val="inx_box37"/>
    <w:basedOn w:val="1"/>
    <w:qFormat/>
    <w:uiPriority w:val="0"/>
    <w:pPr>
      <w:widowControl/>
      <w:spacing w:before="120"/>
      <w:jc w:val="left"/>
    </w:pPr>
    <w:rPr>
      <w:rFonts w:ascii="宋体" w:hAnsi="宋体" w:eastAsia="宋体" w:cs="宋体"/>
      <w:kern w:val="0"/>
      <w:sz w:val="24"/>
      <w:szCs w:val="24"/>
    </w:rPr>
  </w:style>
  <w:style w:type="paragraph" w:customStyle="1" w:styleId="174">
    <w:name w:val="inx_box38"/>
    <w:basedOn w:val="1"/>
    <w:qFormat/>
    <w:uiPriority w:val="0"/>
    <w:pPr>
      <w:widowControl/>
      <w:jc w:val="left"/>
    </w:pPr>
    <w:rPr>
      <w:rFonts w:ascii="宋体" w:hAnsi="宋体" w:eastAsia="宋体" w:cs="宋体"/>
      <w:kern w:val="0"/>
      <w:sz w:val="24"/>
      <w:szCs w:val="24"/>
    </w:rPr>
  </w:style>
  <w:style w:type="paragraph" w:customStyle="1" w:styleId="175">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6">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7">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8">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9">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80">
    <w:name w:val="inx_box39"/>
    <w:basedOn w:val="1"/>
    <w:qFormat/>
    <w:uiPriority w:val="0"/>
    <w:pPr>
      <w:widowControl/>
      <w:spacing w:before="180"/>
      <w:jc w:val="left"/>
    </w:pPr>
    <w:rPr>
      <w:rFonts w:ascii="宋体" w:hAnsi="宋体" w:eastAsia="宋体" w:cs="宋体"/>
      <w:kern w:val="0"/>
      <w:sz w:val="24"/>
      <w:szCs w:val="24"/>
    </w:rPr>
  </w:style>
  <w:style w:type="paragraph" w:customStyle="1" w:styleId="181">
    <w:name w:val="inx_box42"/>
    <w:basedOn w:val="1"/>
    <w:qFormat/>
    <w:uiPriority w:val="0"/>
    <w:pPr>
      <w:widowControl/>
      <w:spacing w:before="180"/>
      <w:jc w:val="left"/>
    </w:pPr>
    <w:rPr>
      <w:rFonts w:ascii="宋体" w:hAnsi="宋体" w:eastAsia="宋体" w:cs="宋体"/>
      <w:kern w:val="0"/>
      <w:sz w:val="24"/>
      <w:szCs w:val="24"/>
    </w:rPr>
  </w:style>
  <w:style w:type="paragraph" w:customStyle="1" w:styleId="182">
    <w:name w:val="inx_box42b"/>
    <w:basedOn w:val="1"/>
    <w:qFormat/>
    <w:uiPriority w:val="0"/>
    <w:pPr>
      <w:widowControl/>
      <w:spacing w:before="300"/>
      <w:jc w:val="left"/>
    </w:pPr>
    <w:rPr>
      <w:rFonts w:ascii="宋体" w:hAnsi="宋体" w:eastAsia="宋体" w:cs="宋体"/>
      <w:kern w:val="0"/>
      <w:sz w:val="24"/>
      <w:szCs w:val="24"/>
    </w:rPr>
  </w:style>
  <w:style w:type="paragraph" w:customStyle="1" w:styleId="183">
    <w:name w:val="inx_box41"/>
    <w:basedOn w:val="1"/>
    <w:qFormat/>
    <w:uiPriority w:val="0"/>
    <w:pPr>
      <w:widowControl/>
      <w:spacing w:before="240"/>
      <w:jc w:val="left"/>
    </w:pPr>
    <w:rPr>
      <w:rFonts w:ascii="宋体" w:hAnsi="宋体" w:eastAsia="宋体" w:cs="宋体"/>
      <w:kern w:val="0"/>
      <w:sz w:val="24"/>
      <w:szCs w:val="24"/>
    </w:rPr>
  </w:style>
  <w:style w:type="paragraph" w:customStyle="1" w:styleId="184">
    <w:name w:val="inx_box40"/>
    <w:basedOn w:val="1"/>
    <w:qFormat/>
    <w:uiPriority w:val="0"/>
    <w:pPr>
      <w:widowControl/>
      <w:spacing w:before="240"/>
      <w:jc w:val="left"/>
    </w:pPr>
    <w:rPr>
      <w:rFonts w:ascii="宋体" w:hAnsi="宋体" w:eastAsia="宋体" w:cs="宋体"/>
      <w:kern w:val="0"/>
      <w:sz w:val="24"/>
      <w:szCs w:val="24"/>
    </w:rPr>
  </w:style>
  <w:style w:type="paragraph" w:customStyle="1" w:styleId="185">
    <w:name w:val="inx_image5"/>
    <w:basedOn w:val="1"/>
    <w:qFormat/>
    <w:uiPriority w:val="0"/>
    <w:pPr>
      <w:widowControl/>
      <w:jc w:val="left"/>
    </w:pPr>
    <w:rPr>
      <w:rFonts w:ascii="宋体" w:hAnsi="宋体" w:eastAsia="宋体" w:cs="宋体"/>
      <w:color w:val="000000"/>
      <w:kern w:val="0"/>
      <w:sz w:val="24"/>
      <w:szCs w:val="24"/>
    </w:rPr>
  </w:style>
  <w:style w:type="paragraph" w:customStyle="1" w:styleId="186">
    <w:name w:val="inx_box44"/>
    <w:basedOn w:val="1"/>
    <w:qFormat/>
    <w:uiPriority w:val="0"/>
    <w:pPr>
      <w:widowControl/>
      <w:jc w:val="left"/>
    </w:pPr>
    <w:rPr>
      <w:rFonts w:ascii="宋体" w:hAnsi="宋体" w:eastAsia="宋体" w:cs="宋体"/>
      <w:kern w:val="0"/>
      <w:sz w:val="24"/>
      <w:szCs w:val="24"/>
    </w:rPr>
  </w:style>
  <w:style w:type="paragraph" w:customStyle="1" w:styleId="187">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8">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9">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90">
    <w:name w:val="inx_box46"/>
    <w:basedOn w:val="1"/>
    <w:qFormat/>
    <w:uiPriority w:val="0"/>
    <w:pPr>
      <w:widowControl/>
      <w:spacing w:before="75"/>
      <w:jc w:val="left"/>
    </w:pPr>
    <w:rPr>
      <w:rFonts w:ascii="宋体" w:hAnsi="宋体" w:eastAsia="宋体" w:cs="宋体"/>
      <w:kern w:val="0"/>
      <w:sz w:val="24"/>
      <w:szCs w:val="24"/>
    </w:rPr>
  </w:style>
  <w:style w:type="paragraph" w:customStyle="1" w:styleId="191">
    <w:name w:val="inx_box47"/>
    <w:basedOn w:val="1"/>
    <w:qFormat/>
    <w:uiPriority w:val="0"/>
    <w:pPr>
      <w:widowControl/>
      <w:jc w:val="left"/>
    </w:pPr>
    <w:rPr>
      <w:rFonts w:ascii="宋体" w:hAnsi="宋体" w:eastAsia="宋体" w:cs="宋体"/>
      <w:kern w:val="0"/>
      <w:sz w:val="24"/>
      <w:szCs w:val="24"/>
    </w:rPr>
  </w:style>
  <w:style w:type="paragraph" w:customStyle="1" w:styleId="192">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93">
    <w:name w:val="inx_image7"/>
    <w:basedOn w:val="1"/>
    <w:qFormat/>
    <w:uiPriority w:val="0"/>
    <w:pPr>
      <w:widowControl/>
      <w:jc w:val="left"/>
    </w:pPr>
    <w:rPr>
      <w:rFonts w:ascii="宋体" w:hAnsi="宋体" w:eastAsia="宋体" w:cs="宋体"/>
      <w:color w:val="000000"/>
      <w:kern w:val="0"/>
      <w:sz w:val="24"/>
      <w:szCs w:val="24"/>
    </w:rPr>
  </w:style>
  <w:style w:type="paragraph" w:customStyle="1" w:styleId="194">
    <w:name w:val="inx_image8"/>
    <w:basedOn w:val="1"/>
    <w:qFormat/>
    <w:uiPriority w:val="0"/>
    <w:pPr>
      <w:widowControl/>
      <w:jc w:val="left"/>
    </w:pPr>
    <w:rPr>
      <w:rFonts w:ascii="宋体" w:hAnsi="宋体" w:eastAsia="宋体" w:cs="宋体"/>
      <w:color w:val="000000"/>
      <w:kern w:val="0"/>
      <w:sz w:val="24"/>
      <w:szCs w:val="24"/>
    </w:rPr>
  </w:style>
  <w:style w:type="paragraph" w:customStyle="1" w:styleId="195">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6">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7">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8">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9">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200">
    <w:name w:val="inx_box50"/>
    <w:basedOn w:val="1"/>
    <w:qFormat/>
    <w:uiPriority w:val="0"/>
    <w:pPr>
      <w:widowControl/>
      <w:spacing w:before="300"/>
      <w:jc w:val="left"/>
    </w:pPr>
    <w:rPr>
      <w:rFonts w:ascii="宋体" w:hAnsi="宋体" w:eastAsia="宋体" w:cs="宋体"/>
      <w:kern w:val="0"/>
      <w:sz w:val="24"/>
      <w:szCs w:val="24"/>
    </w:rPr>
  </w:style>
  <w:style w:type="paragraph" w:customStyle="1" w:styleId="201">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202">
    <w:name w:val="inx_box52"/>
    <w:basedOn w:val="1"/>
    <w:qFormat/>
    <w:uiPriority w:val="0"/>
    <w:pPr>
      <w:widowControl/>
      <w:spacing w:before="90"/>
      <w:jc w:val="left"/>
    </w:pPr>
    <w:rPr>
      <w:rFonts w:ascii="宋体" w:hAnsi="宋体" w:eastAsia="宋体" w:cs="宋体"/>
      <w:kern w:val="0"/>
      <w:sz w:val="24"/>
      <w:szCs w:val="24"/>
    </w:rPr>
  </w:style>
  <w:style w:type="paragraph" w:customStyle="1" w:styleId="203">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4">
    <w:name w:val="inx_box53"/>
    <w:basedOn w:val="1"/>
    <w:qFormat/>
    <w:uiPriority w:val="0"/>
    <w:pPr>
      <w:widowControl/>
      <w:spacing w:before="240"/>
      <w:jc w:val="left"/>
    </w:pPr>
    <w:rPr>
      <w:rFonts w:ascii="宋体" w:hAnsi="宋体" w:eastAsia="宋体" w:cs="宋体"/>
      <w:kern w:val="0"/>
      <w:sz w:val="24"/>
      <w:szCs w:val="24"/>
    </w:rPr>
  </w:style>
  <w:style w:type="paragraph" w:customStyle="1" w:styleId="205">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6">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7">
    <w:name w:val="inx_box55"/>
    <w:basedOn w:val="1"/>
    <w:qFormat/>
    <w:uiPriority w:val="0"/>
    <w:pPr>
      <w:widowControl/>
      <w:spacing w:before="240"/>
      <w:jc w:val="left"/>
    </w:pPr>
    <w:rPr>
      <w:rFonts w:ascii="宋体" w:hAnsi="宋体" w:eastAsia="宋体" w:cs="宋体"/>
      <w:kern w:val="0"/>
      <w:sz w:val="24"/>
      <w:szCs w:val="24"/>
    </w:rPr>
  </w:style>
  <w:style w:type="paragraph" w:customStyle="1" w:styleId="208">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9">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10">
    <w:name w:val="menu"/>
    <w:basedOn w:val="1"/>
    <w:qFormat/>
    <w:uiPriority w:val="0"/>
    <w:pPr>
      <w:widowControl/>
      <w:jc w:val="left"/>
    </w:pPr>
    <w:rPr>
      <w:rFonts w:ascii="宋体" w:hAnsi="宋体" w:eastAsia="宋体" w:cs="宋体"/>
      <w:kern w:val="0"/>
      <w:sz w:val="24"/>
      <w:szCs w:val="24"/>
    </w:rPr>
  </w:style>
  <w:style w:type="paragraph" w:customStyle="1" w:styleId="211">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12">
    <w:name w:val="diqu-list"/>
    <w:basedOn w:val="1"/>
    <w:qFormat/>
    <w:uiPriority w:val="0"/>
    <w:pPr>
      <w:widowControl/>
      <w:jc w:val="left"/>
    </w:pPr>
    <w:rPr>
      <w:rFonts w:ascii="宋体" w:hAnsi="宋体" w:eastAsia="宋体" w:cs="宋体"/>
      <w:kern w:val="0"/>
      <w:sz w:val="24"/>
      <w:szCs w:val="24"/>
    </w:rPr>
  </w:style>
  <w:style w:type="paragraph" w:customStyle="1" w:styleId="213">
    <w:name w:val="hidden"/>
    <w:basedOn w:val="1"/>
    <w:qFormat/>
    <w:uiPriority w:val="0"/>
    <w:pPr>
      <w:widowControl/>
      <w:jc w:val="left"/>
    </w:pPr>
    <w:rPr>
      <w:rFonts w:ascii="宋体" w:hAnsi="宋体" w:eastAsia="宋体" w:cs="宋体"/>
      <w:vanish/>
      <w:kern w:val="0"/>
      <w:sz w:val="24"/>
      <w:szCs w:val="24"/>
    </w:rPr>
  </w:style>
  <w:style w:type="character" w:customStyle="1" w:styleId="214">
    <w:name w:val="editinput"/>
    <w:basedOn w:val="20"/>
    <w:qFormat/>
    <w:uiPriority w:val="0"/>
  </w:style>
  <w:style w:type="character" w:customStyle="1" w:styleId="215">
    <w:name w:val="edittexttarea"/>
    <w:basedOn w:val="20"/>
    <w:qFormat/>
    <w:uiPriority w:val="0"/>
  </w:style>
  <w:style w:type="character" w:customStyle="1" w:styleId="216">
    <w:name w:val="页眉 Char"/>
    <w:basedOn w:val="20"/>
    <w:link w:val="13"/>
    <w:qFormat/>
    <w:uiPriority w:val="99"/>
    <w:rPr>
      <w:sz w:val="18"/>
      <w:szCs w:val="18"/>
    </w:rPr>
  </w:style>
  <w:style w:type="character" w:customStyle="1" w:styleId="217">
    <w:name w:val="页脚 Char"/>
    <w:basedOn w:val="20"/>
    <w:link w:val="12"/>
    <w:qFormat/>
    <w:uiPriority w:val="99"/>
    <w:rPr>
      <w:sz w:val="18"/>
      <w:szCs w:val="18"/>
    </w:rPr>
  </w:style>
  <w:style w:type="character" w:customStyle="1" w:styleId="218">
    <w:name w:val="标题 2 Char"/>
    <w:basedOn w:val="20"/>
    <w:link w:val="5"/>
    <w:qFormat/>
    <w:uiPriority w:val="9"/>
    <w:rPr>
      <w:rFonts w:asciiTheme="majorHAnsi" w:hAnsiTheme="majorHAnsi" w:eastAsiaTheme="majorEastAsia" w:cstheme="majorBidi"/>
      <w:b/>
      <w:bCs/>
      <w:sz w:val="32"/>
      <w:szCs w:val="32"/>
    </w:rPr>
  </w:style>
  <w:style w:type="character" w:customStyle="1" w:styleId="219">
    <w:name w:val="标题 3 Char"/>
    <w:basedOn w:val="20"/>
    <w:link w:val="6"/>
    <w:qFormat/>
    <w:uiPriority w:val="9"/>
    <w:rPr>
      <w:b/>
      <w:bCs/>
      <w:sz w:val="32"/>
      <w:szCs w:val="32"/>
    </w:rPr>
  </w:style>
  <w:style w:type="paragraph" w:styleId="220">
    <w:name w:val="List Paragraph"/>
    <w:basedOn w:val="1"/>
    <w:qFormat/>
    <w:uiPriority w:val="34"/>
    <w:pPr>
      <w:ind w:firstLine="420" w:firstLineChars="200"/>
    </w:pPr>
  </w:style>
  <w:style w:type="paragraph" w:customStyle="1" w:styleId="221">
    <w:name w:val="TOC Heading"/>
    <w:basedOn w:val="4"/>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22">
    <w:name w:val="批注框文本 Char"/>
    <w:basedOn w:val="20"/>
    <w:link w:val="11"/>
    <w:semiHidden/>
    <w:qFormat/>
    <w:uiPriority w:val="99"/>
    <w:rPr>
      <w:sz w:val="18"/>
      <w:szCs w:val="18"/>
    </w:rPr>
  </w:style>
  <w:style w:type="character" w:customStyle="1" w:styleId="223">
    <w:name w:val="font11"/>
    <w:basedOn w:val="20"/>
    <w:qFormat/>
    <w:uiPriority w:val="0"/>
    <w:rPr>
      <w:rFonts w:hint="eastAsia" w:ascii="宋体" w:hAnsi="宋体" w:eastAsia="宋体" w:cs="宋体"/>
      <w:color w:val="000000"/>
      <w:sz w:val="18"/>
      <w:szCs w:val="18"/>
      <w:u w:val="none"/>
    </w:rPr>
  </w:style>
  <w:style w:type="character" w:customStyle="1" w:styleId="224">
    <w:name w:val="font31"/>
    <w:basedOn w:val="20"/>
    <w:qFormat/>
    <w:uiPriority w:val="0"/>
    <w:rPr>
      <w:rFonts w:hint="default" w:ascii="Symbol" w:hAnsi="Symbol" w:cs="Symbol"/>
      <w:color w:val="000000"/>
      <w:sz w:val="18"/>
      <w:szCs w:val="18"/>
      <w:u w:val="none"/>
    </w:rPr>
  </w:style>
  <w:style w:type="character" w:customStyle="1" w:styleId="225">
    <w:name w:val="font21"/>
    <w:qFormat/>
    <w:uiPriority w:val="0"/>
    <w:rPr>
      <w:rFonts w:hint="eastAsia" w:ascii="宋体" w:hAnsi="宋体" w:eastAsia="宋体" w:cs="宋体"/>
      <w:color w:val="000000"/>
      <w:sz w:val="20"/>
      <w:szCs w:val="20"/>
      <w:u w:val="none"/>
    </w:rPr>
  </w:style>
  <w:style w:type="paragraph" w:customStyle="1" w:styleId="226">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227">
    <w:name w:val="font91"/>
    <w:basedOn w:val="20"/>
    <w:qFormat/>
    <w:uiPriority w:val="0"/>
    <w:rPr>
      <w:rFonts w:hint="eastAsia" w:ascii="宋体" w:hAnsi="宋体" w:eastAsia="宋体" w:cs="宋体"/>
      <w:color w:val="000000"/>
      <w:sz w:val="20"/>
      <w:szCs w:val="20"/>
      <w:u w:val="none"/>
    </w:rPr>
  </w:style>
  <w:style w:type="character" w:customStyle="1" w:styleId="228">
    <w:name w:val="font41"/>
    <w:basedOn w:val="20"/>
    <w:qFormat/>
    <w:uiPriority w:val="0"/>
    <w:rPr>
      <w:rFonts w:hint="default" w:ascii="Calibri" w:hAnsi="Calibri" w:cs="Calibri"/>
      <w:color w:val="000000"/>
      <w:sz w:val="22"/>
      <w:szCs w:val="22"/>
      <w:u w:val="none"/>
    </w:rPr>
  </w:style>
  <w:style w:type="character" w:customStyle="1" w:styleId="229">
    <w:name w:val="font01"/>
    <w:basedOn w:val="2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C91781-9562-49C0-8393-279BBC8142F3}">
  <ds:schemaRefs/>
</ds:datastoreItem>
</file>

<file path=docProps/app.xml><?xml version="1.0" encoding="utf-8"?>
<Properties xmlns="http://schemas.openxmlformats.org/officeDocument/2006/extended-properties" xmlns:vt="http://schemas.openxmlformats.org/officeDocument/2006/docPropsVTypes">
  <Template>Normal</Template>
  <Pages>26</Pages>
  <Words>2241</Words>
  <Characters>12775</Characters>
  <Lines>106</Lines>
  <Paragraphs>29</Paragraphs>
  <TotalTime>6</TotalTime>
  <ScaleCrop>false</ScaleCrop>
  <LinksUpToDate>false</LinksUpToDate>
  <CharactersWithSpaces>14987</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2018-04-25T09:58:00Z</dcterms:created>
  <dc:creator>Qingju Zh</dc:creator>
  <cp:lastModifiedBy>86186</cp:lastModifiedBy>
  <cp:lastPrinted>2021-01-27T01:33:00Z</cp:lastPrinted>
  <dcterms:modified xsi:type="dcterms:W3CDTF">2021-02-05T02:50:52Z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