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4"/>
        <w:keepNext w:val="0"/>
        <w:keepLines w:val="0"/>
        <w:widowControl/>
        <w:suppressLineNumbers w:val="0"/>
        <w:spacing w:before="0" w:beforeAutospacing="0" w:after="0" w:afterAutospacing="0" w:line="23" w:lineRule="atLeast"/>
        <w:ind w:left="-362" w:right="-362"/>
        <w:jc w:val="center"/>
        <w:rPr>
          <w:rStyle w:val="18"/>
          <w:rFonts w:hint="eastAsia" w:ascii="宋体" w:hAnsi="宋体" w:eastAsia="宋体" w:cs="宋体"/>
          <w:b/>
          <w:color w:val="393939"/>
          <w:sz w:val="30"/>
          <w:szCs w:val="30"/>
          <w:shd w:val="clear" w:color="auto" w:fill="FFFFFF"/>
          <w:lang w:eastAsia="zh-CN"/>
        </w:rPr>
      </w:pPr>
      <w:r>
        <w:rPr>
          <w:rFonts w:ascii="宋体" w:hAnsi="宋体" w:eastAsia="宋体" w:cs="宋体"/>
          <w:bCs/>
          <w:kern w:val="0"/>
          <w:sz w:val="36"/>
          <w:szCs w:val="24"/>
        </w:rPr>
        <w:t>项目名称：</w:t>
      </w:r>
      <w:r>
        <w:rPr>
          <w:rFonts w:hint="eastAsia" w:ascii="宋体" w:hAnsi="宋体"/>
          <w:b/>
          <w:bCs/>
          <w:sz w:val="32"/>
          <w:szCs w:val="24"/>
          <w:u w:val="single" w:color="auto"/>
        </w:rPr>
        <w:t>武警</w:t>
      </w:r>
      <w:r>
        <w:rPr>
          <w:rFonts w:hint="eastAsia" w:ascii="宋体" w:hAnsi="宋体"/>
          <w:b/>
          <w:bCs/>
          <w:sz w:val="32"/>
          <w:szCs w:val="24"/>
          <w:u w:val="single" w:color="auto"/>
          <w:lang w:val="en-US" w:eastAsia="zh-CN"/>
        </w:rPr>
        <w:t>沙县</w:t>
      </w:r>
      <w:r>
        <w:rPr>
          <w:rFonts w:hint="eastAsia" w:ascii="宋体" w:hAnsi="宋体"/>
          <w:b/>
          <w:bCs/>
          <w:sz w:val="32"/>
          <w:szCs w:val="24"/>
          <w:u w:val="single" w:color="auto"/>
        </w:rPr>
        <w:t>中队“智慧磐石”工程一期建设物资采购项目</w:t>
      </w:r>
    </w:p>
    <w:p>
      <w:pPr>
        <w:pStyle w:val="14"/>
        <w:keepNext w:val="0"/>
        <w:keepLines w:val="0"/>
        <w:widowControl/>
        <w:suppressLineNumbers w:val="0"/>
        <w:spacing w:before="0" w:beforeAutospacing="1" w:after="0" w:afterAutospacing="1"/>
        <w:jc w:val="center"/>
      </w:pPr>
    </w:p>
    <w:p>
      <w:pPr>
        <w:pStyle w:val="14"/>
        <w:keepNext w:val="0"/>
        <w:keepLines w:val="0"/>
        <w:widowControl/>
        <w:suppressLineNumbers w:val="0"/>
        <w:shd w:val="clear" w:fill="FFFFFF"/>
        <w:spacing w:before="60" w:beforeAutospacing="0" w:after="60" w:afterAutospacing="0"/>
        <w:ind w:right="0"/>
        <w:jc w:val="center"/>
        <w:rPr>
          <w:rFonts w:hint="eastAsia" w:ascii="宋体" w:hAnsi="宋体" w:eastAsia="宋体" w:cs="宋体"/>
          <w:bCs/>
          <w:kern w:val="0"/>
          <w:sz w:val="36"/>
          <w:szCs w:val="24"/>
        </w:rPr>
      </w:pPr>
    </w:p>
    <w:p>
      <w:pPr>
        <w:widowControl/>
        <w:shd w:val="clear" w:color="auto" w:fill="FFFFFF"/>
        <w:spacing w:line="360" w:lineRule="auto"/>
        <w:jc w:val="center"/>
        <w:rPr>
          <w:rFonts w:ascii="宋体" w:hAnsi="宋体" w:eastAsia="宋体" w:cs="宋体"/>
          <w:kern w:val="0"/>
          <w:sz w:val="36"/>
          <w:szCs w:val="24"/>
        </w:rPr>
      </w:pPr>
    </w:p>
    <w:p>
      <w:pPr>
        <w:spacing w:line="520" w:lineRule="exact"/>
        <w:ind w:firstLine="1800" w:firstLineChars="500"/>
        <w:rPr>
          <w:rFonts w:ascii="宋体" w:hAnsi="宋体" w:eastAsia="宋体" w:cs="宋体"/>
          <w:bCs/>
          <w:kern w:val="0"/>
          <w:sz w:val="36"/>
          <w:szCs w:val="24"/>
        </w:rPr>
      </w:pPr>
    </w:p>
    <w:p>
      <w:pPr>
        <w:spacing w:line="520" w:lineRule="exact"/>
        <w:ind w:firstLine="1800" w:firstLineChars="500"/>
        <w:rPr>
          <w:rFonts w:hint="default" w:ascii="宋体" w:hAnsi="宋体" w:eastAsia="宋体" w:cs="宋体"/>
          <w:bCs/>
          <w:kern w:val="0"/>
          <w:sz w:val="36"/>
          <w:szCs w:val="24"/>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rPr>
        <w:t>201</w:t>
      </w:r>
      <w:r>
        <w:rPr>
          <w:rFonts w:hint="eastAsia" w:ascii="宋体" w:hAnsi="宋体" w:eastAsia="宋体" w:cs="宋体"/>
          <w:bCs/>
          <w:kern w:val="0"/>
          <w:sz w:val="36"/>
          <w:szCs w:val="24"/>
          <w:lang w:val="en-US" w:eastAsia="zh-CN"/>
        </w:rPr>
        <w:t>91209001</w:t>
      </w:r>
    </w:p>
    <w:p>
      <w:pPr>
        <w:spacing w:line="520" w:lineRule="exact"/>
        <w:ind w:firstLine="640" w:firstLineChars="200"/>
        <w:jc w:val="center"/>
        <w:rPr>
          <w:rFonts w:hint="eastAsia" w:ascii="仿宋_GB2312" w:eastAsia="仿宋_GB2312"/>
          <w:sz w:val="32"/>
          <w:szCs w:val="32"/>
          <w:lang w:val="en-US" w:eastAsia="zh-CN"/>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福建广电网络集团股份有限公司沙县分公司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201</w:t>
      </w:r>
      <w:r>
        <w:rPr>
          <w:rFonts w:hint="eastAsia" w:ascii="宋体" w:hAnsi="宋体" w:eastAsia="宋体" w:cs="宋体"/>
          <w:bCs/>
          <w:kern w:val="0"/>
          <w:sz w:val="36"/>
          <w:szCs w:val="24"/>
          <w:lang w:val="en-US" w:eastAsia="zh-CN"/>
        </w:rPr>
        <w:t>9</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12</w:t>
      </w:r>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hint="eastAsia" w:ascii="宋体" w:hAnsi="宋体" w:eastAsia="宋体" w:cs="宋体"/>
          <w:bCs/>
          <w:sz w:val="36"/>
          <w:szCs w:val="24"/>
          <w:lang w:val="en-US" w:eastAsia="zh-CN"/>
        </w:rPr>
      </w:pPr>
      <w:r>
        <w:rPr>
          <w:rFonts w:hint="eastAsia" w:ascii="宋体" w:hAnsi="宋体" w:eastAsia="宋体" w:cs="宋体"/>
          <w:bCs/>
          <w:sz w:val="36"/>
          <w:szCs w:val="24"/>
          <w:lang w:val="en-US" w:eastAsia="zh-CN"/>
        </w:rPr>
        <w:t xml:space="preserve"> </w:t>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1"/>
            <w:tabs>
              <w:tab w:val="right" w:leader="dot" w:pos="830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rPr>
              <w:rFonts w:ascii="宋体" w:hAnsi="宋体" w:eastAsia="宋体"/>
            </w:rPr>
            <w:fldChar w:fldCharType="begin"/>
          </w:r>
          <w:r>
            <w:rPr>
              <w:rFonts w:ascii="宋体" w:hAnsi="宋体" w:eastAsia="宋体"/>
            </w:rPr>
            <w:instrText xml:space="preserve"> HYPERLINK \l _Toc17903 </w:instrText>
          </w:r>
          <w:r>
            <w:rPr>
              <w:rFonts w:ascii="宋体" w:hAnsi="宋体" w:eastAsia="宋体"/>
            </w:rPr>
            <w:fldChar w:fldCharType="separate"/>
          </w:r>
          <w:r>
            <w:t>第一章询价邀请/询价邀请书</w:t>
          </w:r>
          <w:r>
            <w:tab/>
          </w:r>
          <w:r>
            <w:fldChar w:fldCharType="begin"/>
          </w:r>
          <w:r>
            <w:instrText xml:space="preserve"> PAGEREF _Toc17903 </w:instrText>
          </w:r>
          <w:r>
            <w:fldChar w:fldCharType="separate"/>
          </w:r>
          <w:r>
            <w:t>1</w:t>
          </w:r>
          <w:r>
            <w:fldChar w:fldCharType="end"/>
          </w:r>
          <w:r>
            <w:rPr>
              <w:rFonts w:ascii="宋体" w:hAnsi="宋体" w:eastAsia="宋体"/>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_Toc18736 </w:instrText>
          </w:r>
          <w:r>
            <w:rPr>
              <w:rFonts w:ascii="宋体" w:hAnsi="宋体" w:eastAsia="宋体"/>
              <w:bCs/>
              <w:lang w:val="zh-CN"/>
            </w:rPr>
            <w:fldChar w:fldCharType="separate"/>
          </w:r>
          <w:r>
            <w:t>第二章询价须知</w:t>
          </w:r>
          <w:r>
            <w:tab/>
          </w:r>
          <w:r>
            <w:fldChar w:fldCharType="begin"/>
          </w:r>
          <w:r>
            <w:instrText xml:space="preserve"> PAGEREF _Toc18736 </w:instrText>
          </w:r>
          <w:r>
            <w:fldChar w:fldCharType="separate"/>
          </w:r>
          <w:r>
            <w:t>2</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_Toc25794 </w:instrText>
          </w:r>
          <w:r>
            <w:rPr>
              <w:rFonts w:ascii="宋体" w:hAnsi="宋体" w:eastAsia="宋体"/>
              <w:bCs/>
              <w:lang w:val="zh-CN"/>
            </w:rPr>
            <w:fldChar w:fldCharType="separate"/>
          </w:r>
          <w:r>
            <w:t>第</w:t>
          </w:r>
          <w:r>
            <w:rPr>
              <w:rFonts w:hint="eastAsia"/>
            </w:rPr>
            <w:t>三</w:t>
          </w:r>
          <w:r>
            <w:t>章询价内容及要求</w:t>
          </w:r>
          <w:r>
            <w:tab/>
          </w:r>
          <w:r>
            <w:fldChar w:fldCharType="begin"/>
          </w:r>
          <w:r>
            <w:instrText xml:space="preserve"> PAGEREF _Toc25794 </w:instrText>
          </w:r>
          <w:r>
            <w:fldChar w:fldCharType="separate"/>
          </w:r>
          <w:r>
            <w:t>3</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_Toc17208 </w:instrText>
          </w:r>
          <w:r>
            <w:rPr>
              <w:rFonts w:ascii="宋体" w:hAnsi="宋体" w:eastAsia="宋体"/>
              <w:bCs/>
              <w:lang w:val="zh-CN"/>
            </w:rPr>
            <w:fldChar w:fldCharType="separate"/>
          </w:r>
          <w:r>
            <w:t>一、采购标的</w:t>
          </w:r>
          <w:r>
            <w:rPr>
              <w:rFonts w:hint="eastAsia"/>
            </w:rPr>
            <w:t>一览表</w:t>
          </w:r>
          <w:r>
            <w:tab/>
          </w:r>
          <w:r>
            <w:fldChar w:fldCharType="begin"/>
          </w:r>
          <w:r>
            <w:instrText xml:space="preserve"> PAGEREF _Toc17208 </w:instrText>
          </w:r>
          <w:r>
            <w:fldChar w:fldCharType="separate"/>
          </w:r>
          <w:r>
            <w:t>3</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_Toc28866 </w:instrText>
          </w:r>
          <w:r>
            <w:rPr>
              <w:rFonts w:ascii="宋体" w:hAnsi="宋体" w:eastAsia="宋体"/>
              <w:bCs/>
              <w:lang w:val="zh-CN"/>
            </w:rPr>
            <w:fldChar w:fldCharType="separate"/>
          </w:r>
          <w:r>
            <w:rPr>
              <w:rFonts w:hint="eastAsia" w:ascii="宋体" w:hAnsi="宋体" w:eastAsia="宋体" w:cs="宋体"/>
              <w:szCs w:val="24"/>
            </w:rPr>
            <w:t xml:space="preserve">二、 </w:t>
          </w:r>
          <w:r>
            <w:t>技术要求（以下内容不允许负偏离）</w:t>
          </w:r>
          <w:r>
            <w:tab/>
          </w:r>
          <w:r>
            <w:fldChar w:fldCharType="begin"/>
          </w:r>
          <w:r>
            <w:instrText xml:space="preserve"> PAGEREF _Toc28866 </w:instrText>
          </w:r>
          <w:r>
            <w:fldChar w:fldCharType="separate"/>
          </w:r>
          <w:r>
            <w:t>4</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_Toc14354 </w:instrText>
          </w:r>
          <w:r>
            <w:rPr>
              <w:rFonts w:ascii="宋体" w:hAnsi="宋体" w:eastAsia="宋体"/>
              <w:bCs/>
              <w:lang w:val="zh-CN"/>
            </w:rPr>
            <w:fldChar w:fldCharType="separate"/>
          </w:r>
          <w:r>
            <w:t>三、商务条件（以下内容不允许负偏离）</w:t>
          </w:r>
          <w:r>
            <w:tab/>
          </w:r>
          <w:r>
            <w:fldChar w:fldCharType="begin"/>
          </w:r>
          <w:r>
            <w:instrText xml:space="preserve"> PAGEREF _Toc14354 </w:instrText>
          </w:r>
          <w:r>
            <w:fldChar w:fldCharType="separate"/>
          </w:r>
          <w:r>
            <w:t>37</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_Toc12868 </w:instrText>
          </w:r>
          <w:r>
            <w:rPr>
              <w:rFonts w:ascii="宋体" w:hAnsi="宋体" w:eastAsia="宋体"/>
              <w:bCs/>
              <w:lang w:val="zh-CN"/>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_Toc12868 </w:instrText>
          </w:r>
          <w:r>
            <w:fldChar w:fldCharType="separate"/>
          </w:r>
          <w:r>
            <w:t>40</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_Toc21368 </w:instrText>
          </w:r>
          <w:r>
            <w:rPr>
              <w:rFonts w:ascii="宋体" w:hAnsi="宋体" w:eastAsia="宋体"/>
              <w:bCs/>
              <w:lang w:val="zh-CN"/>
            </w:rPr>
            <w:fldChar w:fldCharType="separate"/>
          </w:r>
          <w:r>
            <w:rPr>
              <w:rFonts w:hint="eastAsia"/>
            </w:rPr>
            <w:t>1</w:t>
          </w:r>
          <w:r>
            <w:t>、报价一览表</w:t>
          </w:r>
          <w:r>
            <w:tab/>
          </w:r>
          <w:r>
            <w:fldChar w:fldCharType="begin"/>
          </w:r>
          <w:r>
            <w:instrText xml:space="preserve"> PAGEREF _Toc21368 </w:instrText>
          </w:r>
          <w:r>
            <w:fldChar w:fldCharType="separate"/>
          </w:r>
          <w:r>
            <w:t>42</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_Toc32753 </w:instrText>
          </w:r>
          <w:r>
            <w:rPr>
              <w:rFonts w:ascii="宋体" w:hAnsi="宋体" w:eastAsia="宋体"/>
              <w:bCs/>
              <w:lang w:val="zh-CN"/>
            </w:rPr>
            <w:fldChar w:fldCharType="separate"/>
          </w:r>
          <w:r>
            <w:rPr>
              <w:rFonts w:hint="eastAsia"/>
            </w:rPr>
            <w:t>2</w:t>
          </w:r>
          <w:r>
            <w:t>、分项报价表</w:t>
          </w:r>
          <w:r>
            <w:tab/>
          </w:r>
          <w:r>
            <w:fldChar w:fldCharType="begin"/>
          </w:r>
          <w:r>
            <w:instrText xml:space="preserve"> PAGEREF _Toc32753 </w:instrText>
          </w:r>
          <w:r>
            <w:fldChar w:fldCharType="separate"/>
          </w:r>
          <w:r>
            <w:t>43</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_Toc19447 </w:instrText>
          </w:r>
          <w:r>
            <w:rPr>
              <w:rFonts w:ascii="宋体" w:hAnsi="宋体" w:eastAsia="宋体"/>
              <w:bCs/>
              <w:lang w:val="zh-CN"/>
            </w:rPr>
            <w:fldChar w:fldCharType="separate"/>
          </w:r>
          <w:r>
            <w:rPr>
              <w:rFonts w:hint="eastAsia"/>
            </w:rPr>
            <w:t>3、资格证明文件</w:t>
          </w:r>
          <w:r>
            <w:tab/>
          </w:r>
          <w:r>
            <w:fldChar w:fldCharType="begin"/>
          </w:r>
          <w:r>
            <w:instrText xml:space="preserve"> PAGEREF _Toc19447 </w:instrText>
          </w:r>
          <w:r>
            <w:fldChar w:fldCharType="separate"/>
          </w:r>
          <w:r>
            <w:t>44</w:t>
          </w:r>
          <w:r>
            <w:fldChar w:fldCharType="end"/>
          </w:r>
          <w:r>
            <w:rPr>
              <w:rFonts w:ascii="宋体" w:hAnsi="宋体" w:eastAsia="宋体"/>
              <w:bCs/>
              <w:lang w:val="zh-CN"/>
            </w:rPr>
            <w:fldChar w:fldCharType="end"/>
          </w:r>
        </w:p>
        <w:p>
          <w:pPr>
            <w:pStyle w:val="6"/>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_Toc11904 </w:instrText>
          </w:r>
          <w:r>
            <w:rPr>
              <w:rFonts w:ascii="宋体" w:hAnsi="宋体" w:eastAsia="宋体"/>
              <w:bCs/>
              <w:lang w:val="zh-CN"/>
            </w:rPr>
            <w:fldChar w:fldCharType="separate"/>
          </w:r>
          <w:r>
            <w:rPr>
              <w:rFonts w:hint="eastAsia"/>
            </w:rPr>
            <w:t>3</w:t>
          </w:r>
          <w:r>
            <w:t>-1单位负责人授权书（若有）</w:t>
          </w:r>
          <w:r>
            <w:tab/>
          </w:r>
          <w:r>
            <w:fldChar w:fldCharType="begin"/>
          </w:r>
          <w:r>
            <w:instrText xml:space="preserve"> PAGEREF _Toc11904 </w:instrText>
          </w:r>
          <w:r>
            <w:fldChar w:fldCharType="separate"/>
          </w:r>
          <w:r>
            <w:t>44</w:t>
          </w:r>
          <w:r>
            <w:fldChar w:fldCharType="end"/>
          </w:r>
          <w:r>
            <w:rPr>
              <w:rFonts w:ascii="宋体" w:hAnsi="宋体" w:eastAsia="宋体"/>
              <w:bCs/>
              <w:lang w:val="zh-CN"/>
            </w:rPr>
            <w:fldChar w:fldCharType="end"/>
          </w:r>
        </w:p>
        <w:p>
          <w:pPr>
            <w:pStyle w:val="6"/>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_Toc16968 </w:instrText>
          </w:r>
          <w:r>
            <w:rPr>
              <w:rFonts w:ascii="宋体" w:hAnsi="宋体" w:eastAsia="宋体"/>
              <w:bCs/>
              <w:lang w:val="zh-CN"/>
            </w:rPr>
            <w:fldChar w:fldCharType="separate"/>
          </w:r>
          <w:r>
            <w:rPr>
              <w:rFonts w:hint="eastAsia"/>
            </w:rPr>
            <w:t>3</w:t>
          </w:r>
          <w:r>
            <w:t>-2营业执照等证明文件</w:t>
          </w:r>
          <w:r>
            <w:tab/>
          </w:r>
          <w:r>
            <w:fldChar w:fldCharType="begin"/>
          </w:r>
          <w:r>
            <w:instrText xml:space="preserve"> PAGEREF _Toc16968 </w:instrText>
          </w:r>
          <w:r>
            <w:fldChar w:fldCharType="separate"/>
          </w:r>
          <w:r>
            <w:t>45</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_Toc26424 </w:instrText>
          </w:r>
          <w:r>
            <w:rPr>
              <w:rFonts w:ascii="宋体" w:hAnsi="宋体" w:eastAsia="宋体"/>
              <w:bCs/>
              <w:lang w:val="zh-CN"/>
            </w:rPr>
            <w:fldChar w:fldCharType="separate"/>
          </w:r>
          <w:r>
            <w:rPr>
              <w:rFonts w:hint="eastAsia"/>
            </w:rPr>
            <w:t>4</w:t>
          </w:r>
          <w:r>
            <w:t>、技术要求响应表</w:t>
          </w:r>
          <w:r>
            <w:tab/>
          </w:r>
          <w:r>
            <w:fldChar w:fldCharType="begin"/>
          </w:r>
          <w:r>
            <w:instrText xml:space="preserve"> PAGEREF _Toc26424 </w:instrText>
          </w:r>
          <w:r>
            <w:fldChar w:fldCharType="separate"/>
          </w:r>
          <w:r>
            <w:t>46</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_Toc24633 </w:instrText>
          </w:r>
          <w:r>
            <w:rPr>
              <w:rFonts w:ascii="宋体" w:hAnsi="宋体" w:eastAsia="宋体"/>
              <w:bCs/>
              <w:lang w:val="zh-CN"/>
            </w:rPr>
            <w:fldChar w:fldCharType="separate"/>
          </w:r>
          <w:r>
            <w:rPr>
              <w:rFonts w:hint="eastAsia"/>
            </w:rPr>
            <w:t>5</w:t>
          </w:r>
          <w:r>
            <w:t>、商务条件响应表</w:t>
          </w:r>
          <w:r>
            <w:tab/>
          </w:r>
          <w:r>
            <w:fldChar w:fldCharType="begin"/>
          </w:r>
          <w:r>
            <w:instrText xml:space="preserve"> PAGEREF _Toc24633 </w:instrText>
          </w:r>
          <w:r>
            <w:fldChar w:fldCharType="separate"/>
          </w:r>
          <w:r>
            <w:t>47</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_Toc25524 </w:instrText>
          </w:r>
          <w:r>
            <w:rPr>
              <w:rFonts w:ascii="宋体" w:hAnsi="宋体" w:eastAsia="宋体"/>
              <w:bCs/>
              <w:lang w:val="zh-CN"/>
            </w:rPr>
            <w:fldChar w:fldCharType="separate"/>
          </w:r>
          <w:r>
            <w:rPr>
              <w:rFonts w:hint="eastAsia"/>
            </w:rPr>
            <w:t>6</w:t>
          </w:r>
          <w:r>
            <w:t>、</w:t>
          </w:r>
          <w:r>
            <w:rPr>
              <w:rFonts w:hint="eastAsia"/>
            </w:rPr>
            <w:t>售后服务承诺函</w:t>
          </w:r>
          <w:r>
            <w:tab/>
          </w:r>
          <w:r>
            <w:fldChar w:fldCharType="begin"/>
          </w:r>
          <w:r>
            <w:instrText xml:space="preserve"> PAGEREF _Toc25524 </w:instrText>
          </w:r>
          <w:r>
            <w:fldChar w:fldCharType="separate"/>
          </w:r>
          <w:r>
            <w:t>48</w:t>
          </w:r>
          <w:r>
            <w:fldChar w:fldCharType="end"/>
          </w:r>
          <w:r>
            <w:rPr>
              <w:rFonts w:ascii="宋体" w:hAnsi="宋体" w:eastAsia="宋体"/>
              <w:bCs/>
              <w:lang w:val="zh-CN"/>
            </w:rPr>
            <w:fldChar w:fldCharType="end"/>
          </w:r>
        </w:p>
        <w:p>
          <w:pPr>
            <w:spacing w:line="360" w:lineRule="auto"/>
          </w:pPr>
          <w:r>
            <w:rPr>
              <w:rFonts w:ascii="宋体" w:hAnsi="宋体" w:eastAsia="宋体"/>
              <w:bCs/>
              <w:lang w:val="zh-CN"/>
            </w:rPr>
            <w:fldChar w:fldCharType="end"/>
          </w:r>
        </w:p>
      </w:sdtContent>
    </w:sdt>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2"/>
      </w:pPr>
      <w:bookmarkStart w:id="0" w:name="_Toc17903"/>
      <w:r>
        <w:t>第一章询价邀请/询价邀请书</w:t>
      </w:r>
      <w:bookmarkEnd w:id="0"/>
    </w:p>
    <w:p>
      <w:pPr>
        <w:pStyle w:val="14"/>
        <w:keepNext w:val="0"/>
        <w:keepLines w:val="0"/>
        <w:widowControl/>
        <w:suppressLineNumbers w:val="0"/>
        <w:spacing w:before="0" w:beforeAutospacing="0" w:after="0" w:afterAutospacing="0" w:line="23" w:lineRule="atLeast"/>
        <w:ind w:left="-362" w:right="-362" w:firstLine="480" w:firstLineChars="200"/>
        <w:jc w:val="both"/>
        <w:rPr>
          <w:rFonts w:hint="eastAsia"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eastAsia="zh-CN"/>
        </w:rPr>
        <w:t>沙县</w:t>
      </w:r>
      <w:r>
        <w:rPr>
          <w:rFonts w:hint="eastAsia" w:ascii="宋体" w:hAnsi="宋体" w:eastAsia="宋体"/>
          <w:sz w:val="24"/>
          <w:szCs w:val="24"/>
        </w:rPr>
        <w:t>分公司组织</w:t>
      </w:r>
      <w:r>
        <w:rPr>
          <w:rFonts w:hint="eastAsia" w:ascii="宋体" w:hAnsi="宋体"/>
          <w:b/>
          <w:bCs/>
          <w:sz w:val="32"/>
          <w:szCs w:val="24"/>
          <w:u w:val="single" w:color="auto"/>
        </w:rPr>
        <w:t>武警</w:t>
      </w:r>
      <w:r>
        <w:rPr>
          <w:rFonts w:hint="eastAsia" w:ascii="宋体" w:hAnsi="宋体"/>
          <w:b/>
          <w:bCs/>
          <w:sz w:val="32"/>
          <w:szCs w:val="24"/>
          <w:u w:val="single" w:color="auto"/>
          <w:lang w:val="en-US" w:eastAsia="zh-CN"/>
        </w:rPr>
        <w:t>沙县</w:t>
      </w:r>
      <w:r>
        <w:rPr>
          <w:rFonts w:hint="eastAsia" w:ascii="宋体" w:hAnsi="宋体"/>
          <w:b/>
          <w:bCs/>
          <w:sz w:val="32"/>
          <w:szCs w:val="24"/>
          <w:u w:val="single" w:color="auto"/>
        </w:rPr>
        <w:t>中队“智慧磐石”工程一期建设物资采购项目</w:t>
      </w:r>
      <w:r>
        <w:rPr>
          <w:rFonts w:hint="eastAsia" w:ascii="宋体" w:hAnsi="宋体" w:eastAsia="宋体"/>
          <w:sz w:val="24"/>
          <w:szCs w:val="24"/>
        </w:rPr>
        <w:t>标前询价，欢迎合格供应商前来参加。</w:t>
      </w:r>
    </w:p>
    <w:p>
      <w:pPr>
        <w:widowControl/>
        <w:shd w:val="clear" w:color="auto" w:fill="FFFFFF"/>
        <w:spacing w:line="360" w:lineRule="auto"/>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u w:val="single"/>
        </w:rPr>
      </w:pPr>
      <w:r>
        <w:rPr>
          <w:rFonts w:hint="eastAsia" w:ascii="宋体" w:hAnsi="宋体" w:eastAsia="宋体"/>
          <w:sz w:val="24"/>
          <w:szCs w:val="24"/>
        </w:rPr>
        <w:t>项目编号：201</w:t>
      </w:r>
      <w:r>
        <w:rPr>
          <w:rFonts w:hint="eastAsia" w:ascii="宋体" w:hAnsi="宋体" w:eastAsia="宋体"/>
          <w:sz w:val="24"/>
          <w:szCs w:val="24"/>
          <w:lang w:val="en-US" w:eastAsia="zh-CN"/>
        </w:rPr>
        <w:t>91209001</w:t>
      </w:r>
    </w:p>
    <w:p>
      <w:pPr>
        <w:numPr>
          <w:ilvl w:val="0"/>
          <w:numId w:val="1"/>
        </w:numPr>
        <w:spacing w:line="360" w:lineRule="auto"/>
        <w:ind w:firstLine="480"/>
        <w:jc w:val="left"/>
      </w:pPr>
      <w:r>
        <w:rPr>
          <w:rFonts w:hint="eastAsia" w:ascii="宋体" w:hAnsi="宋体" w:eastAsia="宋体"/>
          <w:sz w:val="24"/>
          <w:szCs w:val="24"/>
        </w:rPr>
        <w:t>预算金额、最高限价：</w:t>
      </w:r>
      <w:r>
        <w:rPr>
          <w:rFonts w:hint="eastAsia" w:ascii="宋体" w:hAnsi="宋体" w:eastAsia="宋体"/>
          <w:sz w:val="24"/>
          <w:szCs w:val="24"/>
          <w:lang w:val="en-US" w:eastAsia="zh-CN"/>
        </w:rPr>
        <w:t>45</w:t>
      </w:r>
      <w:r>
        <w:rPr>
          <w:rFonts w:ascii="宋体" w:hAnsi="宋体" w:eastAsia="宋体"/>
          <w:sz w:val="24"/>
          <w:szCs w:val="24"/>
        </w:rPr>
        <w:t>万元</w:t>
      </w:r>
      <w:r>
        <w:rPr>
          <w:rFonts w:hint="eastAsia" w:ascii="宋体" w:hAnsi="宋体" w:eastAsia="宋体"/>
          <w:sz w:val="24"/>
          <w:szCs w:val="24"/>
          <w:lang w:eastAsia="zh-CN"/>
        </w:rPr>
        <w:t>。</w:t>
      </w:r>
    </w:p>
    <w:p>
      <w:pPr>
        <w:numPr>
          <w:ilvl w:val="0"/>
          <w:numId w:val="1"/>
        </w:numPr>
        <w:spacing w:line="360" w:lineRule="auto"/>
        <w:ind w:firstLine="480"/>
        <w:jc w:val="left"/>
        <w:rPr>
          <w:rFonts w:ascii="宋体" w:hAnsi="宋体" w:eastAsia="宋体"/>
          <w:sz w:val="24"/>
          <w:szCs w:val="24"/>
        </w:rPr>
      </w:pPr>
      <w:r>
        <w:rPr>
          <w:rFonts w:ascii="宋体" w:hAnsi="宋体" w:eastAsia="宋体"/>
          <w:sz w:val="24"/>
          <w:szCs w:val="24"/>
        </w:rPr>
        <w:t>询价内容及技术商务依据</w:t>
      </w:r>
      <w:r>
        <w:rPr>
          <w:rFonts w:hint="eastAsia" w:ascii="宋体" w:hAnsi="宋体" w:eastAsia="宋体"/>
          <w:sz w:val="24"/>
          <w:szCs w:val="24"/>
        </w:rPr>
        <w:t>项目编号：</w:t>
      </w:r>
      <w:r>
        <w:rPr>
          <w:rFonts w:hint="eastAsia" w:ascii="宋体" w:hAnsi="宋体" w:eastAsia="宋体"/>
          <w:sz w:val="24"/>
          <w:szCs w:val="24"/>
          <w:u w:val="single"/>
        </w:rPr>
        <w:t>沙公ZB201</w:t>
      </w:r>
      <w:r>
        <w:rPr>
          <w:rFonts w:hint="eastAsia" w:ascii="宋体" w:hAnsi="宋体" w:eastAsia="宋体"/>
          <w:sz w:val="24"/>
          <w:szCs w:val="24"/>
          <w:u w:val="single"/>
          <w:lang w:val="en-US" w:eastAsia="zh-CN"/>
        </w:rPr>
        <w:t>9017</w:t>
      </w:r>
      <w:r>
        <w:rPr>
          <w:rFonts w:hint="eastAsia" w:ascii="宋体" w:hAnsi="宋体" w:eastAsia="宋体"/>
          <w:sz w:val="24"/>
          <w:szCs w:val="24"/>
          <w:u w:val="single"/>
        </w:rPr>
        <w:t>号</w:t>
      </w:r>
      <w:r>
        <w:rPr>
          <w:rFonts w:hint="eastAsia" w:ascii="宋体" w:hAnsi="宋体" w:eastAsia="宋体"/>
          <w:sz w:val="24"/>
          <w:szCs w:val="24"/>
        </w:rPr>
        <w:t>招标要</w:t>
      </w:r>
      <w:r>
        <w:rPr>
          <w:rFonts w:ascii="宋体" w:hAnsi="宋体" w:eastAsia="宋体"/>
          <w:sz w:val="24"/>
          <w:szCs w:val="24"/>
        </w:rPr>
        <w:t>求</w:t>
      </w:r>
      <w:r>
        <w:rPr>
          <w:rFonts w:hint="eastAsia" w:ascii="宋体" w:hAnsi="宋体" w:eastAsia="宋体"/>
          <w:sz w:val="24"/>
          <w:szCs w:val="24"/>
        </w:rPr>
        <w:t>。</w:t>
      </w:r>
    </w:p>
    <w:p>
      <w:pPr>
        <w:pStyle w:val="14"/>
        <w:snapToGrid w:val="0"/>
        <w:spacing w:line="360" w:lineRule="auto"/>
        <w:contextualSpacing/>
      </w:pPr>
      <w:r>
        <w:rPr>
          <w:rFonts w:hint="eastAsia"/>
        </w:rPr>
        <w:t>二、供应商资格要求</w:t>
      </w:r>
    </w:p>
    <w:p>
      <w:pPr>
        <w:pStyle w:val="14"/>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4"/>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4"/>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4"/>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pPr>
      <w:bookmarkStart w:id="1" w:name="_Toc18736"/>
      <w:r>
        <w:t>第二章询价须知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5"/>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4"/>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4"/>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4"/>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4"/>
              <w:snapToGrid w:val="0"/>
              <w:spacing w:line="360" w:lineRule="auto"/>
              <w:ind w:firstLine="480" w:firstLineChars="200"/>
              <w:contextualSpacing/>
              <w:rPr>
                <w:rFonts w:hint="eastAsia" w:eastAsia="宋体"/>
                <w:lang w:eastAsia="zh-CN"/>
              </w:rPr>
            </w:pPr>
            <w:r>
              <w:rPr>
                <w:rFonts w:hint="eastAsia"/>
              </w:rPr>
              <w:t>（四）所有参加投标的投标方代表均需随身携带本人身份证原件。如果投标方代表不是法定代表人，投标方代表还需提交《法定代表人授权书》</w:t>
            </w:r>
            <w:r>
              <w:rPr>
                <w:rFonts w:hint="eastAsia"/>
                <w:lang w:eastAsia="zh-CN"/>
              </w:rPr>
              <w:t>，且投标供应商授权代表必须为在岗员工。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w:t>
            </w:r>
            <w:r>
              <w:rPr>
                <w:rFonts w:hint="eastAsia" w:ascii="宋体" w:hAnsi="宋体" w:eastAsia="宋体" w:cs="宋体"/>
                <w:kern w:val="0"/>
                <w:sz w:val="24"/>
                <w:szCs w:val="24"/>
                <w:lang w:val="en-US" w:eastAsia="zh-CN"/>
              </w:rPr>
              <w:t>6</w:t>
            </w:r>
            <w:r>
              <w:rPr>
                <w:rFonts w:ascii="宋体" w:hAnsi="宋体" w:eastAsia="宋体" w:cs="宋体"/>
                <w:kern w:val="0"/>
                <w:sz w:val="24"/>
                <w:szCs w:val="24"/>
              </w:rPr>
              <w:t>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hint="eastAsia" w:ascii="宋体" w:hAnsi="宋体" w:eastAsia="宋体" w:cs="宋体"/>
                <w:kern w:val="0"/>
                <w:sz w:val="24"/>
                <w:szCs w:val="24"/>
                <w:lang w:eastAsia="zh-CN"/>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lang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w:t>
            </w:r>
            <w:r>
              <w:rPr>
                <w:rFonts w:hint="eastAsia" w:ascii="宋体" w:hAnsi="宋体" w:eastAsia="宋体" w:cs="宋体"/>
                <w:bCs/>
                <w:kern w:val="0"/>
                <w:sz w:val="24"/>
                <w:szCs w:val="24"/>
                <w:lang w:val="en-US" w:eastAsia="zh-CN"/>
              </w:rPr>
              <w:t>合同签订后支付合同总价的50%，验收合格后支付合同总价的45%，</w:t>
            </w:r>
            <w:r>
              <w:rPr>
                <w:rFonts w:ascii="宋体" w:hAnsi="宋体" w:eastAsia="宋体" w:cs="宋体"/>
                <w:kern w:val="0"/>
                <w:sz w:val="24"/>
                <w:szCs w:val="24"/>
                <w:lang w:val="en-US" w:eastAsia="zh-CN" w:bidi="ar"/>
              </w:rPr>
              <w:t>余5%款项做为质保金，</w:t>
            </w:r>
            <w:r>
              <w:rPr>
                <w:rFonts w:hint="eastAsia" w:ascii="宋体" w:hAnsi="宋体" w:eastAsia="宋体" w:cs="宋体"/>
                <w:kern w:val="0"/>
                <w:sz w:val="24"/>
                <w:szCs w:val="24"/>
                <w:lang w:val="en-US" w:eastAsia="zh-CN" w:bidi="ar"/>
              </w:rPr>
              <w:t>三</w:t>
            </w:r>
            <w:r>
              <w:rPr>
                <w:rFonts w:ascii="宋体" w:hAnsi="宋体" w:eastAsia="宋体" w:cs="宋体"/>
                <w:kern w:val="0"/>
                <w:sz w:val="24"/>
                <w:szCs w:val="24"/>
                <w:lang w:val="en-US" w:eastAsia="zh-CN" w:bidi="ar"/>
              </w:rPr>
              <w:t>年后完成合同约定所有内容，无质量与售后问题，七个工作日付清</w:t>
            </w:r>
            <w:r>
              <w:rPr>
                <w:rFonts w:hint="eastAsia" w:ascii="宋体" w:hAnsi="宋体" w:eastAsia="宋体" w:cs="宋体"/>
                <w:bCs/>
                <w:kern w:val="0"/>
                <w:sz w:val="24"/>
                <w:szCs w:val="24"/>
                <w:lang w:val="en-US" w:eastAsia="zh-CN"/>
              </w:rPr>
              <w:t>。</w:t>
            </w:r>
          </w:p>
        </w:tc>
      </w:tr>
    </w:tbl>
    <w:p>
      <w:pPr>
        <w:pStyle w:val="2"/>
      </w:pPr>
      <w:bookmarkStart w:id="2" w:name="_Toc25794"/>
      <w:r>
        <w:t>第</w:t>
      </w:r>
      <w:r>
        <w:rPr>
          <w:rFonts w:hint="eastAsia"/>
        </w:rPr>
        <w:t>三</w:t>
      </w:r>
      <w:r>
        <w:t>章询价内容及要求</w:t>
      </w:r>
      <w:bookmarkEnd w:id="2"/>
    </w:p>
    <w:p>
      <w:pPr>
        <w:pStyle w:val="3"/>
        <w:numPr>
          <w:ilvl w:val="0"/>
          <w:numId w:val="2"/>
        </w:numPr>
        <w:rPr>
          <w:rFonts w:hint="eastAsia"/>
        </w:rPr>
      </w:pPr>
      <w:bookmarkStart w:id="3" w:name="_Toc17208"/>
      <w:r>
        <w:t>采购标的</w:t>
      </w:r>
      <w:r>
        <w:rPr>
          <w:rFonts w:hint="eastAsia"/>
        </w:rPr>
        <w:t>一览表</w:t>
      </w:r>
      <w:bookmarkEnd w:id="3"/>
    </w:p>
    <w:p>
      <w:pPr>
        <w:numPr>
          <w:ilvl w:val="0"/>
          <w:numId w:val="0"/>
        </w:numPr>
        <w:rPr>
          <w:rFonts w:hint="eastAsia" w:eastAsia="宋体"/>
          <w:lang w:eastAsia="zh-CN"/>
        </w:rPr>
      </w:pPr>
      <w:r>
        <w:rPr>
          <w:rFonts w:hint="eastAsia" w:eastAsia="宋体"/>
          <w:lang w:eastAsia="zh-CN"/>
        </w:rPr>
        <w:t>金额单位：人民币元</w:t>
      </w:r>
    </w:p>
    <w:tbl>
      <w:tblPr>
        <w:tblStyle w:val="15"/>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4"/>
        <w:gridCol w:w="924"/>
        <w:gridCol w:w="1849"/>
        <w:gridCol w:w="925"/>
        <w:gridCol w:w="925"/>
        <w:gridCol w:w="925"/>
        <w:gridCol w:w="925"/>
        <w:gridCol w:w="92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w:t>
            </w:r>
          </w:p>
        </w:tc>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w:t>
            </w:r>
          </w:p>
        </w:tc>
        <w:tc>
          <w:tcPr>
            <w:tcW w:w="184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采购标的</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数量</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允许进口</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投标保证金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1</w:t>
            </w:r>
          </w:p>
        </w:tc>
        <w:tc>
          <w:tcPr>
            <w:tcW w:w="5548" w:type="dxa"/>
            <w:gridSpan w:val="5"/>
            <w:tcBorders>
              <w:top w:val="outset" w:color="auto" w:sz="6" w:space="0"/>
              <w:left w:val="outset" w:color="auto" w:sz="6" w:space="0"/>
              <w:bottom w:val="outset" w:color="auto" w:sz="6" w:space="0"/>
              <w:right w:val="outset" w:color="auto" w:sz="6" w:space="0"/>
            </w:tcBorders>
            <w:vAlign w:val="center"/>
          </w:tcPr>
          <w:tbl>
            <w:tblPr>
              <w:tblStyle w:val="15"/>
              <w:tblW w:w="551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0"/>
              <w:gridCol w:w="1840"/>
              <w:gridCol w:w="919"/>
              <w:gridCol w:w="919"/>
              <w:gridCol w:w="91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20"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w:t>
                  </w:r>
                </w:p>
              </w:tc>
              <w:tc>
                <w:tcPr>
                  <w:tcW w:w="184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武警沙县中队“智慧磐石”工程一期建设物资采购项目</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1项</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450000 </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否</w:t>
                  </w:r>
                </w:p>
              </w:tc>
            </w:tr>
          </w:tbl>
          <w:p>
            <w:pPr>
              <w:widowControl/>
              <w:jc w:val="center"/>
              <w:rPr>
                <w:rFonts w:ascii="宋体" w:hAnsi="宋体" w:eastAsia="宋体" w:cs="宋体"/>
                <w:kern w:val="0"/>
                <w:sz w:val="24"/>
                <w:szCs w:val="24"/>
              </w:rPr>
            </w:pP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450000</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无</w:t>
            </w:r>
          </w:p>
        </w:tc>
      </w:tr>
    </w:tbl>
    <w:p>
      <w:pPr>
        <w:rPr>
          <w:rFonts w:hint="eastAsia" w:ascii="宋体" w:hAnsi="宋体" w:eastAsia="宋体" w:cs="宋体"/>
          <w:sz w:val="24"/>
          <w:szCs w:val="24"/>
        </w:rPr>
        <w:sectPr>
          <w:footerReference r:id="rId3" w:type="default"/>
          <w:pgSz w:w="11906" w:h="16838"/>
          <w:pgMar w:top="1440" w:right="1800" w:bottom="1440" w:left="1800" w:header="851" w:footer="992" w:gutter="0"/>
          <w:pgNumType w:start="1"/>
          <w:cols w:space="425" w:num="1"/>
          <w:docGrid w:type="lines" w:linePitch="312" w:charSpace="0"/>
        </w:sectPr>
      </w:pPr>
      <w:r>
        <w:br w:type="page"/>
      </w:r>
      <w:bookmarkStart w:id="4" w:name="_Toc28866"/>
    </w:p>
    <w:p>
      <w:pPr>
        <w:pStyle w:val="3"/>
        <w:numPr>
          <w:ilvl w:val="0"/>
          <w:numId w:val="3"/>
        </w:numPr>
        <w:rPr>
          <w:rFonts w:hint="eastAsia" w:ascii="宋体" w:hAnsi="宋体" w:eastAsia="宋体" w:cs="宋体"/>
          <w:sz w:val="24"/>
          <w:szCs w:val="24"/>
        </w:rPr>
      </w:pPr>
      <w:r>
        <w:t>技术要求（以下内容不允许负偏离）</w:t>
      </w:r>
      <w:bookmarkEnd w:id="4"/>
    </w:p>
    <w:p>
      <w:pPr>
        <w:numPr>
          <w:ilvl w:val="0"/>
          <w:numId w:val="0"/>
        </w:numPr>
        <w:rPr>
          <w:rFonts w:hint="eastAsia" w:ascii="宋体" w:hAnsi="宋体" w:eastAsia="宋体" w:cs="宋体"/>
          <w:sz w:val="24"/>
          <w:szCs w:val="24"/>
        </w:rPr>
      </w:pPr>
    </w:p>
    <w:tbl>
      <w:tblPr>
        <w:tblStyle w:val="15"/>
        <w:tblW w:w="0" w:type="auto"/>
        <w:tblInd w:w="90" w:type="dxa"/>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Layout w:type="fixed"/>
        <w:tblCellMar>
          <w:top w:w="15" w:type="dxa"/>
          <w:left w:w="15" w:type="dxa"/>
          <w:bottom w:w="15" w:type="dxa"/>
          <w:right w:w="15" w:type="dxa"/>
        </w:tblCellMar>
      </w:tblPr>
      <w:tblGrid>
        <w:gridCol w:w="495"/>
        <w:gridCol w:w="1121"/>
        <w:gridCol w:w="4571"/>
        <w:gridCol w:w="713"/>
        <w:gridCol w:w="684"/>
        <w:gridCol w:w="711"/>
        <w:gridCol w:w="711"/>
        <w:gridCol w:w="1014"/>
        <w:gridCol w:w="30"/>
      </w:tblGrid>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10020" w:type="dxa"/>
            <w:gridSpan w:val="8"/>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spacing w:after="150"/>
              <w:jc w:val="center"/>
              <w:rPr>
                <w:rFonts w:hint="eastAsia" w:ascii="宋体" w:hAnsi="宋体" w:cs="宋体"/>
                <w:b/>
                <w:bCs/>
                <w:color w:val="000000"/>
                <w:kern w:val="0"/>
                <w:sz w:val="32"/>
              </w:rPr>
            </w:pPr>
            <w:r>
              <w:rPr>
                <w:rFonts w:hint="eastAsia" w:ascii="宋体" w:hAnsi="宋体" w:cs="宋体"/>
                <w:b/>
                <w:bCs/>
                <w:color w:val="000000"/>
                <w:kern w:val="0"/>
                <w:sz w:val="32"/>
              </w:rPr>
              <w:t>武警</w:t>
            </w:r>
            <w:r>
              <w:rPr>
                <w:rFonts w:hint="eastAsia" w:ascii="宋体" w:hAnsi="宋体" w:cs="宋体"/>
                <w:b/>
                <w:bCs/>
                <w:color w:val="000000"/>
                <w:kern w:val="0"/>
                <w:sz w:val="32"/>
                <w:lang w:val="en-US" w:eastAsia="zh-CN"/>
              </w:rPr>
              <w:t>沙县</w:t>
            </w:r>
            <w:r>
              <w:rPr>
                <w:rFonts w:hint="eastAsia" w:ascii="宋体" w:hAnsi="宋体" w:cs="宋体"/>
                <w:b/>
                <w:bCs/>
                <w:color w:val="000000"/>
                <w:kern w:val="0"/>
                <w:sz w:val="32"/>
              </w:rPr>
              <w:t>中队“智慧磐石”工程一期建设物资采购清单</w:t>
            </w:r>
          </w:p>
          <w:p>
            <w:pPr>
              <w:widowControl/>
              <w:spacing w:after="150"/>
              <w:jc w:val="center"/>
              <w:rPr>
                <w:rFonts w:ascii="宋体" w:hAnsi="宋体" w:cs="宋体"/>
                <w:kern w:val="0"/>
              </w:rPr>
            </w:pPr>
            <w:r>
              <w:rPr>
                <w:rFonts w:hint="eastAsia" w:ascii="宋体" w:hAnsi="宋体" w:cs="宋体"/>
                <w:b/>
                <w:bCs/>
                <w:color w:val="000000"/>
                <w:kern w:val="0"/>
                <w:sz w:val="32"/>
              </w:rPr>
              <w:t>（最高限价</w:t>
            </w:r>
            <w:r>
              <w:rPr>
                <w:rFonts w:hint="eastAsia" w:ascii="宋体" w:hAnsi="宋体" w:cs="宋体"/>
                <w:b/>
                <w:bCs/>
                <w:color w:val="000000"/>
                <w:kern w:val="0"/>
                <w:sz w:val="32"/>
                <w:lang w:val="en-US" w:eastAsia="zh-CN"/>
              </w:rPr>
              <w:t>50</w:t>
            </w:r>
            <w:r>
              <w:rPr>
                <w:rFonts w:hint="eastAsia" w:ascii="宋体" w:hAnsi="宋体" w:cs="宋体"/>
                <w:b/>
                <w:bCs/>
                <w:color w:val="000000"/>
                <w:kern w:val="0"/>
                <w:sz w:val="32"/>
              </w:rPr>
              <w:t>万）</w:t>
            </w:r>
          </w:p>
        </w:tc>
        <w:tc>
          <w:tcPr>
            <w:tcW w:w="30" w:type="dxa"/>
            <w:tcBorders>
              <w:top w:val="nil"/>
              <w:left w:val="nil"/>
              <w:bottom w:val="nil"/>
              <w:right w:val="nil"/>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spacing w:after="150"/>
              <w:jc w:val="center"/>
              <w:rPr>
                <w:rFonts w:ascii="宋体" w:hAnsi="宋体" w:cs="宋体"/>
                <w:kern w:val="0"/>
              </w:rPr>
            </w:pPr>
            <w:r>
              <w:rPr>
                <w:rFonts w:hint="eastAsia" w:ascii="宋体" w:hAnsi="宋体" w:cs="宋体"/>
                <w:b/>
                <w:bCs/>
                <w:color w:val="000000"/>
                <w:kern w:val="0"/>
                <w:sz w:val="23"/>
              </w:rPr>
              <w:t>序号</w:t>
            </w:r>
          </w:p>
        </w:tc>
        <w:tc>
          <w:tcPr>
            <w:tcW w:w="112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spacing w:after="150"/>
              <w:jc w:val="center"/>
              <w:rPr>
                <w:rFonts w:ascii="宋体" w:hAnsi="宋体" w:cs="宋体"/>
                <w:kern w:val="0"/>
              </w:rPr>
            </w:pPr>
            <w:r>
              <w:rPr>
                <w:rFonts w:hint="eastAsia" w:ascii="宋体" w:hAnsi="宋体" w:cs="宋体"/>
                <w:b/>
                <w:bCs/>
                <w:color w:val="000000"/>
                <w:kern w:val="0"/>
                <w:sz w:val="23"/>
              </w:rPr>
              <w:t>名 称</w:t>
            </w:r>
          </w:p>
        </w:tc>
        <w:tc>
          <w:tcPr>
            <w:tcW w:w="457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spacing w:after="150"/>
              <w:jc w:val="center"/>
              <w:rPr>
                <w:rFonts w:ascii="宋体" w:hAnsi="宋体" w:cs="宋体"/>
                <w:kern w:val="0"/>
              </w:rPr>
            </w:pPr>
            <w:r>
              <w:rPr>
                <w:rFonts w:hint="eastAsia" w:ascii="宋体" w:hAnsi="宋体" w:cs="宋体"/>
                <w:b/>
                <w:bCs/>
                <w:color w:val="000000"/>
                <w:kern w:val="0"/>
                <w:sz w:val="23"/>
              </w:rPr>
              <w:t>参数需求</w:t>
            </w:r>
          </w:p>
        </w:tc>
        <w:tc>
          <w:tcPr>
            <w:tcW w:w="713"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spacing w:after="150"/>
              <w:jc w:val="center"/>
              <w:rPr>
                <w:rFonts w:ascii="宋体" w:hAnsi="宋体" w:cs="宋体"/>
                <w:kern w:val="0"/>
              </w:rPr>
            </w:pPr>
            <w:r>
              <w:rPr>
                <w:rFonts w:hint="eastAsia" w:ascii="宋体" w:hAnsi="宋体" w:cs="宋体"/>
                <w:b/>
                <w:bCs/>
                <w:color w:val="000000"/>
                <w:kern w:val="0"/>
                <w:sz w:val="23"/>
              </w:rPr>
              <w:t>数量</w:t>
            </w:r>
          </w:p>
        </w:tc>
        <w:tc>
          <w:tcPr>
            <w:tcW w:w="68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spacing w:after="150"/>
              <w:jc w:val="center"/>
              <w:rPr>
                <w:rFonts w:ascii="宋体" w:hAnsi="宋体" w:cs="宋体"/>
                <w:kern w:val="0"/>
              </w:rPr>
            </w:pPr>
            <w:r>
              <w:rPr>
                <w:rFonts w:hint="eastAsia" w:ascii="宋体" w:hAnsi="宋体" w:cs="宋体"/>
                <w:b/>
                <w:bCs/>
                <w:color w:val="000000"/>
                <w:kern w:val="0"/>
                <w:sz w:val="23"/>
              </w:rPr>
              <w:t>单位</w:t>
            </w: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spacing w:after="150"/>
              <w:jc w:val="center"/>
              <w:rPr>
                <w:rFonts w:ascii="宋体" w:hAnsi="宋体" w:cs="宋体"/>
                <w:kern w:val="0"/>
              </w:rPr>
            </w:pPr>
            <w:r>
              <w:rPr>
                <w:rFonts w:hint="eastAsia" w:ascii="宋体" w:hAnsi="宋体" w:cs="宋体"/>
                <w:b/>
                <w:bCs/>
                <w:color w:val="000000"/>
                <w:kern w:val="0"/>
                <w:sz w:val="23"/>
              </w:rPr>
              <w:t>单价</w:t>
            </w: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spacing w:after="150"/>
              <w:jc w:val="center"/>
              <w:rPr>
                <w:rFonts w:ascii="宋体" w:hAnsi="宋体" w:cs="宋体"/>
                <w:kern w:val="0"/>
              </w:rPr>
            </w:pPr>
            <w:r>
              <w:rPr>
                <w:rFonts w:hint="eastAsia" w:ascii="宋体" w:hAnsi="宋体" w:cs="宋体"/>
                <w:b/>
                <w:bCs/>
                <w:color w:val="000000"/>
                <w:kern w:val="0"/>
                <w:sz w:val="23"/>
              </w:rPr>
              <w:t>总价</w:t>
            </w:r>
          </w:p>
        </w:tc>
        <w:tc>
          <w:tcPr>
            <w:tcW w:w="101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spacing w:after="150"/>
              <w:jc w:val="center"/>
              <w:rPr>
                <w:rFonts w:ascii="宋体" w:hAnsi="宋体" w:cs="宋体"/>
                <w:kern w:val="0"/>
              </w:rPr>
            </w:pPr>
            <w:r>
              <w:rPr>
                <w:rFonts w:hint="eastAsia" w:ascii="宋体" w:hAnsi="宋体" w:cs="宋体"/>
                <w:b/>
                <w:bCs/>
                <w:color w:val="000000"/>
                <w:kern w:val="0"/>
                <w:sz w:val="23"/>
              </w:rPr>
              <w:t>备注</w:t>
            </w:r>
          </w:p>
        </w:tc>
        <w:tc>
          <w:tcPr>
            <w:tcW w:w="30" w:type="dxa"/>
            <w:tcBorders>
              <w:top w:val="nil"/>
              <w:left w:val="nil"/>
              <w:bottom w:val="nil"/>
              <w:right w:val="nil"/>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929" w:hRule="atLeast"/>
        </w:trPr>
        <w:tc>
          <w:tcPr>
            <w:tcW w:w="10050" w:type="dxa"/>
            <w:gridSpan w:val="9"/>
            <w:tcBorders>
              <w:top w:val="nil"/>
              <w:left w:val="single" w:color="auto" w:sz="6" w:space="0"/>
              <w:bottom w:val="single" w:color="auto" w:sz="6" w:space="0"/>
              <w:right w:val="nil"/>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r>
              <w:rPr>
                <w:rFonts w:hint="eastAsia" w:ascii="宋体" w:hAnsi="宋体" w:eastAsia="宋体" w:cs="宋体"/>
                <w:i w:val="0"/>
                <w:color w:val="000000"/>
                <w:kern w:val="0"/>
                <w:sz w:val="21"/>
                <w:szCs w:val="21"/>
                <w:u w:val="none"/>
                <w:lang w:val="en-US" w:eastAsia="zh-CN" w:bidi="ar"/>
              </w:rPr>
              <w:t>一、哨位门禁系统</w:t>
            </w: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929" w:hRule="atLeast"/>
        </w:trPr>
        <w:tc>
          <w:tcPr>
            <w:tcW w:w="495"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112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人脸门禁一体机</w:t>
            </w:r>
          </w:p>
        </w:tc>
        <w:tc>
          <w:tcPr>
            <w:tcW w:w="457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采用≥7英寸LCD触摸显示屏，分辨率不小于1024*600，屏幕支持多点触控操作，屏幕防冲击防护等级IK04。2.采用高清双目相机宽动态相机（1路可见光摄像头，1路红外摄像头），最大分辨率为1920×1080，帧率30帧/s。（需提供在招标日期之前由公安部授权机构出具的检测报告复印件，原件备查）3.支持红外及白光灯补光，并可设置红外及可见光补光灯亮度。4.本地人脸库存储容量≥5000张，本地卡存储容量≥5000张，本地出入记录存储容量≥10000条。5.具有丰富的硬件接口，应不少于以下硬件接口及能力： LAN*1（10M/100M/1000M自适应） ；RS485*1；韦根*1；USB*2；喇叭扬声器；I/O输出*2； I/O输入*4；PSAM*1；SIM*1。6.支持IC卡及身份证卡号读取；同时支持开启/关闭NFC刷卡功能。7.支持人脸识别功能，现场抓拍人脸照片与本地人脸库照片进行比对，进行人员身份核验；支持人脸在画面内持续动态跟踪；支持本地离线人脸比对功能；支持用户人脸数据下载及人脸识别双线程同步工作；人脸识别水平区域范围可设置。8.人脸识别距离：＞2m；人脸识别高度：1.2~2m（安装高度1.4m，距离1.5m）；人脸识别误识率≤0.01%，准确率≥99.8%，人脸识别速度≤0.2s。（需提供在招标日期之前由公安部授权机构出具的检测报告复印件，原件备查）9.支持防假体攻击功能，对视频、电子照片、打印照片中的人脸应不能进行人脸识别。10.支持人脸识别、刷卡、二维码、密码等认证方式，且支持以上任意一种、任意两种或三种组合认证开门；根据使用场景，认证开门方式还应包括：多重卡认证开门、多重卡+中心远程认证开门、多重卡+超级密码开门、多重卡+超级卡开门、 首卡开门、超级权限开门、管理中心远程开门、APP远程开门、室内机及管理机远程开门。并且支持反潜回（防尾随）功能，并可按时间段管控，支持255组时段计划模板。11.支持多种人脸注册方式：设备本地人脸注册；本地U盘导入人员信息； 远程中心下发人脸；通过APP采集人脸并注册下发。12.支持比对结果图文提示功能； 支持本地视频预览、人脸动态捕捉；支持查看人员信息、设备状态、设备模式。设备支持视频对讲功能，可跟平台或客户端、室内机、管理机、手机APP进行视频对讲。支持黑名单功能，支持中心下发黑名单信息，本地黑名单信息比对、报警，报警信息可上传平台。13.具有数据加密功能，包括支持本地加密存储比对结果、身份信息及抓拍人脸照片；支持实时加密上传比对结果、身份信息及抓拍人脸照片等至管理中心；支持断网续传离线记录加密数据功能；设备对USB导出数据（事件记录及人脸等）应采用加密方案。14.支持节能功能，支持在没有用户使用时自动切换到屏保或息屏待机状态，当物体靠近时自动唤醒待机设备，且唤醒距离可调节；支持不开启白光补光灯实现人脸识别；支持在0.001lux低照度或无补光环境下正常实现人脸识别。15.具备以下报警功能：1）当连续若干次在设备上进行错误操作；2）未经正常操作而使出入口开启；3）出入口开启时间超过设定值；4）设备被拆除；5）胁迫卡和胁迫码；6）黑名单刷卡；设备在接入系统平台可支持视频联动报警功能。16.支持IP65防水等级,适用温度范围：-30℃至65℃。</w:t>
            </w:r>
          </w:p>
        </w:tc>
        <w:tc>
          <w:tcPr>
            <w:tcW w:w="713"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4</w:t>
            </w:r>
          </w:p>
        </w:tc>
        <w:tc>
          <w:tcPr>
            <w:tcW w:w="68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101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spacing w:after="150"/>
              <w:jc w:val="center"/>
              <w:rPr>
                <w:rFonts w:ascii="宋体" w:hAnsi="宋体" w:cs="宋体"/>
                <w:kern w:val="0"/>
              </w:rPr>
            </w:pPr>
          </w:p>
        </w:tc>
        <w:tc>
          <w:tcPr>
            <w:tcW w:w="30" w:type="dxa"/>
            <w:tcBorders>
              <w:top w:val="nil"/>
              <w:left w:val="nil"/>
              <w:bottom w:val="nil"/>
              <w:right w:val="nil"/>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871" w:hRule="atLeast"/>
        </w:trPr>
        <w:tc>
          <w:tcPr>
            <w:tcW w:w="495"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2</w:t>
            </w:r>
          </w:p>
        </w:tc>
        <w:tc>
          <w:tcPr>
            <w:tcW w:w="112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电子锁</w:t>
            </w:r>
          </w:p>
        </w:tc>
        <w:tc>
          <w:tcPr>
            <w:tcW w:w="457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280kg静态直线拉力；可自行设定12VDC；内置反向电流防护装置(MOV)；门锁状态讯号输入(NONCCOM)；LED指示灯显示门锁状态；防残磁设计，选用防磨损材料；铝外壳采用高强度合金材料，阳极硬化处。</w:t>
            </w:r>
          </w:p>
        </w:tc>
        <w:tc>
          <w:tcPr>
            <w:tcW w:w="713"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4</w:t>
            </w:r>
          </w:p>
        </w:tc>
        <w:tc>
          <w:tcPr>
            <w:tcW w:w="68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只</w:t>
            </w: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101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30" w:type="dxa"/>
            <w:tcBorders>
              <w:top w:val="nil"/>
              <w:left w:val="nil"/>
              <w:bottom w:val="nil"/>
              <w:right w:val="nil"/>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495"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3</w:t>
            </w:r>
          </w:p>
        </w:tc>
        <w:tc>
          <w:tcPr>
            <w:tcW w:w="112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电子锁附件</w:t>
            </w:r>
          </w:p>
        </w:tc>
        <w:tc>
          <w:tcPr>
            <w:tcW w:w="457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L型支架尺寸：长240*宽47*厚28.5mm；Z型支架尺寸：长180*宽50*厚50mm；开门角度：90°；适用门类型：内开式木门/金属门/窄框门。</w:t>
            </w:r>
          </w:p>
        </w:tc>
        <w:tc>
          <w:tcPr>
            <w:tcW w:w="713"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4</w:t>
            </w:r>
          </w:p>
        </w:tc>
        <w:tc>
          <w:tcPr>
            <w:tcW w:w="68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只</w:t>
            </w: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101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30" w:type="dxa"/>
            <w:tcBorders>
              <w:top w:val="nil"/>
              <w:left w:val="nil"/>
              <w:bottom w:val="nil"/>
              <w:right w:val="nil"/>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30" w:hRule="atLeast"/>
        </w:trPr>
        <w:tc>
          <w:tcPr>
            <w:tcW w:w="495"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4</w:t>
            </w:r>
          </w:p>
        </w:tc>
        <w:tc>
          <w:tcPr>
            <w:tcW w:w="112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闭门器</w:t>
            </w:r>
          </w:p>
        </w:tc>
        <w:tc>
          <w:tcPr>
            <w:tcW w:w="457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适用于55~75公斤单扇门；双扇门配2个。</w:t>
            </w:r>
          </w:p>
        </w:tc>
        <w:tc>
          <w:tcPr>
            <w:tcW w:w="713"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4</w:t>
            </w:r>
          </w:p>
        </w:tc>
        <w:tc>
          <w:tcPr>
            <w:tcW w:w="68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只</w:t>
            </w: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101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30" w:type="dxa"/>
            <w:tcBorders>
              <w:top w:val="nil"/>
              <w:left w:val="nil"/>
              <w:bottom w:val="nil"/>
              <w:right w:val="nil"/>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5</w:t>
            </w:r>
          </w:p>
        </w:tc>
        <w:tc>
          <w:tcPr>
            <w:tcW w:w="112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可视辅助类产品</w:t>
            </w:r>
          </w:p>
        </w:tc>
        <w:tc>
          <w:tcPr>
            <w:tcW w:w="457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产品尺寸：266*246*82mm；产品组成：含4.17A开关电源，空开×1；输入电压：100-240VAC；输出电压：12VDC；输出电流：4.17A；输出功率：50W；纹波与噪声：&lt; 150mVpp；电压调整范围：11-14Vdc；工作温度：-10℃-+70℃；工作湿度：＜95%；</w:t>
            </w:r>
          </w:p>
        </w:tc>
        <w:tc>
          <w:tcPr>
            <w:tcW w:w="713"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4</w:t>
            </w:r>
          </w:p>
        </w:tc>
        <w:tc>
          <w:tcPr>
            <w:tcW w:w="68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101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30" w:type="dxa"/>
            <w:tcBorders>
              <w:top w:val="nil"/>
              <w:left w:val="nil"/>
              <w:bottom w:val="nil"/>
              <w:right w:val="nil"/>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color w:val="000000"/>
                <w:kern w:val="0"/>
                <w:sz w:val="23"/>
                <w:szCs w:val="23"/>
              </w:rPr>
            </w:pPr>
            <w:r>
              <w:rPr>
                <w:rFonts w:hint="eastAsia" w:ascii="宋体" w:hAnsi="宋体" w:eastAsia="宋体" w:cs="宋体"/>
                <w:i w:val="0"/>
                <w:color w:val="000000"/>
                <w:kern w:val="0"/>
                <w:sz w:val="21"/>
                <w:szCs w:val="21"/>
                <w:u w:val="none"/>
                <w:lang w:val="en-US" w:eastAsia="zh-CN" w:bidi="ar"/>
              </w:rPr>
              <w:t>6</w:t>
            </w:r>
          </w:p>
        </w:tc>
        <w:tc>
          <w:tcPr>
            <w:tcW w:w="112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color w:val="000000"/>
                <w:kern w:val="0"/>
                <w:sz w:val="23"/>
                <w:szCs w:val="23"/>
              </w:rPr>
            </w:pPr>
            <w:r>
              <w:rPr>
                <w:rFonts w:hint="eastAsia" w:ascii="宋体" w:hAnsi="宋体" w:eastAsia="宋体" w:cs="宋体"/>
                <w:i w:val="0"/>
                <w:color w:val="000000"/>
                <w:kern w:val="0"/>
                <w:sz w:val="21"/>
                <w:szCs w:val="21"/>
                <w:u w:val="none"/>
                <w:lang w:val="en-US" w:eastAsia="zh-CN" w:bidi="ar"/>
              </w:rPr>
              <w:t>人脸采集摄像头</w:t>
            </w:r>
          </w:p>
        </w:tc>
        <w:tc>
          <w:tcPr>
            <w:tcW w:w="457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color w:val="000000"/>
                <w:kern w:val="0"/>
                <w:sz w:val="23"/>
                <w:szCs w:val="23"/>
              </w:rPr>
            </w:pPr>
            <w:r>
              <w:rPr>
                <w:rFonts w:hint="eastAsia" w:ascii="宋体" w:hAnsi="宋体" w:eastAsia="宋体" w:cs="宋体"/>
                <w:i w:val="0"/>
                <w:color w:val="000000"/>
                <w:kern w:val="0"/>
                <w:sz w:val="21"/>
                <w:szCs w:val="21"/>
                <w:u w:val="none"/>
                <w:lang w:val="en-US" w:eastAsia="zh-CN" w:bidi="ar"/>
              </w:rPr>
              <w:t>200万USB电视摄像机；传感器类型:2.0 Mega Progressive Scan CMOS；总像素:1920(水平)×1080(垂直)；最低照度:0.1Lux @ (F1.2,AGC ON)；镜头:6mm(2.1mm可选)；出线长度:2m(2.1mm焦距设备出线为4m)；日夜转换模式:单彩；调整角度:水平:0°;垂直:-10°~30°;旋转:0°；视频帧率:1080p@25fps;1080p@30fps；信噪比:大于62dB；视频输出:USB2.0；音频输入:内置MIC；音频输出:USB2.0；白平衡:自动白平衡；蜂鸣功能:支持；LED指示灯:红色：待机状态; 蓝色：正常视频通话状态; 红色闪烁+蜂鸣：有视频通话请求状态；工作温度和湿度:-10℃~45℃ ,湿度小于90%(无凝结)；电源供应:DC5V±15%（USB接口）；功耗:2W MAX；尺寸(mm):118.0×46.8×54.9；重量:150g；提供SDK做2次开发，可支持windows和安卓系统。</w:t>
            </w:r>
          </w:p>
        </w:tc>
        <w:tc>
          <w:tcPr>
            <w:tcW w:w="713"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color w:val="000000"/>
                <w:kern w:val="0"/>
                <w:sz w:val="23"/>
                <w:szCs w:val="23"/>
              </w:rPr>
            </w:pPr>
            <w:r>
              <w:rPr>
                <w:rFonts w:hint="eastAsia" w:ascii="宋体" w:hAnsi="宋体" w:eastAsia="宋体" w:cs="宋体"/>
                <w:i w:val="0"/>
                <w:color w:val="000000"/>
                <w:kern w:val="0"/>
                <w:sz w:val="21"/>
                <w:szCs w:val="21"/>
                <w:u w:val="none"/>
                <w:lang w:val="en-US" w:eastAsia="zh-CN" w:bidi="ar"/>
              </w:rPr>
              <w:t>4</w:t>
            </w:r>
          </w:p>
        </w:tc>
        <w:tc>
          <w:tcPr>
            <w:tcW w:w="68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color w:val="000000"/>
                <w:kern w:val="0"/>
                <w:sz w:val="23"/>
                <w:szCs w:val="23"/>
              </w:rPr>
            </w:pPr>
            <w:r>
              <w:rPr>
                <w:rFonts w:hint="eastAsia" w:ascii="宋体" w:hAnsi="宋体" w:eastAsia="宋体" w:cs="宋体"/>
                <w:i w:val="0"/>
                <w:color w:val="000000"/>
                <w:kern w:val="0"/>
                <w:sz w:val="21"/>
                <w:szCs w:val="21"/>
                <w:u w:val="none"/>
                <w:lang w:val="en-US" w:eastAsia="zh-CN" w:bidi="ar"/>
              </w:rPr>
              <w:t>台</w:t>
            </w: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101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nil"/>
              <w:left w:val="nil"/>
              <w:bottom w:val="nil"/>
              <w:right w:val="nil"/>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10050" w:type="dxa"/>
            <w:gridSpan w:val="9"/>
            <w:tcBorders>
              <w:top w:val="nil"/>
              <w:left w:val="single" w:color="auto" w:sz="6" w:space="0"/>
              <w:bottom w:val="single" w:color="auto" w:sz="6" w:space="0"/>
              <w:right w:val="nil"/>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二、辅助处置系统：巡控探照灯(1号哨、2号哨各1套)</w:t>
            </w: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color w:val="000000"/>
                <w:kern w:val="0"/>
                <w:sz w:val="23"/>
                <w:szCs w:val="23"/>
              </w:rPr>
            </w:pPr>
            <w:r>
              <w:rPr>
                <w:rFonts w:hint="eastAsia" w:ascii="宋体" w:hAnsi="宋体" w:eastAsia="宋体" w:cs="宋体"/>
                <w:i w:val="0"/>
                <w:color w:val="000000"/>
                <w:kern w:val="0"/>
                <w:sz w:val="21"/>
                <w:szCs w:val="21"/>
                <w:u w:val="none"/>
                <w:lang w:val="en-US" w:eastAsia="zh-CN" w:bidi="ar"/>
              </w:rPr>
              <w:t>1</w:t>
            </w:r>
          </w:p>
        </w:tc>
        <w:tc>
          <w:tcPr>
            <w:tcW w:w="112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color w:val="000000"/>
                <w:kern w:val="0"/>
                <w:sz w:val="23"/>
                <w:szCs w:val="23"/>
              </w:rPr>
            </w:pPr>
            <w:r>
              <w:rPr>
                <w:rFonts w:hint="eastAsia" w:ascii="宋体" w:hAnsi="宋体" w:eastAsia="宋体" w:cs="宋体"/>
                <w:i w:val="0"/>
                <w:color w:val="000000"/>
                <w:kern w:val="0"/>
                <w:sz w:val="21"/>
                <w:szCs w:val="21"/>
                <w:u w:val="none"/>
                <w:lang w:val="en-US" w:eastAsia="zh-CN" w:bidi="ar"/>
              </w:rPr>
              <w:t>智能探照灯</w:t>
            </w:r>
          </w:p>
        </w:tc>
        <w:tc>
          <w:tcPr>
            <w:tcW w:w="457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after="150"/>
              <w:jc w:val="center"/>
              <w:textAlignment w:val="center"/>
              <w:rPr>
                <w:rFonts w:ascii="宋体" w:hAnsi="宋体" w:cs="宋体"/>
                <w:color w:val="000000"/>
                <w:kern w:val="0"/>
                <w:sz w:val="23"/>
                <w:szCs w:val="23"/>
              </w:rPr>
            </w:pPr>
            <w:r>
              <w:rPr>
                <w:rFonts w:hint="eastAsia" w:ascii="宋体" w:hAnsi="宋体" w:eastAsia="宋体" w:cs="宋体"/>
                <w:i w:val="0"/>
                <w:color w:val="000000"/>
                <w:kern w:val="0"/>
                <w:sz w:val="21"/>
                <w:szCs w:val="21"/>
                <w:u w:val="none"/>
                <w:lang w:val="en-US" w:eastAsia="zh-CN" w:bidi="ar"/>
              </w:rPr>
              <w:t>1、额定功率:1000W，额定电压:AC220V\50-60HZ；2、灯泡寿命：&gt;1000小时；3、光柱颜色：白色；4、色温：6000 K；5、光通量：32000LM；6、有效射程：不小于一公里；7、旋转角度：水平0-355度，垂直正负45-60度；8、旋转速度：默认水平18度每秒，垂直2度/秒；9、配有高清晰、远距、夜视一体摄像机联动云台实时监看现场状况；10、大功率氙气光源，可远程控制继电器开关，可以实时在软件平台实现开关云台探照灯，全方位控制探照灯的方向，支持自动巡航，可实现预置点控制，支持报警联动控制；11.★含防雷器强弱电防雷器，支架等辅材配件。</w:t>
            </w:r>
          </w:p>
        </w:tc>
        <w:tc>
          <w:tcPr>
            <w:tcW w:w="713"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spacing w:after="150"/>
              <w:jc w:val="center"/>
              <w:rPr>
                <w:rFonts w:hint="eastAsia" w:ascii="宋体" w:hAnsi="宋体" w:eastAsia="宋体" w:cs="宋体"/>
                <w:color w:val="000000"/>
                <w:kern w:val="0"/>
                <w:sz w:val="23"/>
                <w:szCs w:val="23"/>
                <w:lang w:eastAsia="zh-CN"/>
              </w:rPr>
            </w:pPr>
            <w:r>
              <w:rPr>
                <w:rFonts w:hint="eastAsia" w:ascii="宋体" w:hAnsi="宋体" w:cs="宋体"/>
                <w:color w:val="000000"/>
                <w:kern w:val="0"/>
                <w:sz w:val="23"/>
                <w:szCs w:val="23"/>
                <w:lang w:val="en-US" w:eastAsia="zh-CN"/>
              </w:rPr>
              <w:t>2</w:t>
            </w:r>
          </w:p>
        </w:tc>
        <w:tc>
          <w:tcPr>
            <w:tcW w:w="68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spacing w:after="150"/>
              <w:jc w:val="center"/>
              <w:rPr>
                <w:rFonts w:ascii="宋体" w:hAnsi="宋体" w:cs="宋体"/>
                <w:color w:val="000000"/>
                <w:kern w:val="0"/>
                <w:sz w:val="23"/>
                <w:szCs w:val="23"/>
              </w:rPr>
            </w:pPr>
            <w:r>
              <w:rPr>
                <w:rFonts w:hint="eastAsia" w:ascii="宋体" w:hAnsi="宋体" w:cs="宋体"/>
                <w:color w:val="000000"/>
                <w:kern w:val="0"/>
                <w:sz w:val="23"/>
                <w:szCs w:val="23"/>
              </w:rPr>
              <w:t>套</w:t>
            </w: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101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nil"/>
              <w:left w:val="nil"/>
              <w:bottom w:val="nil"/>
              <w:right w:val="nil"/>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30" w:hRule="atLeast"/>
        </w:trPr>
        <w:tc>
          <w:tcPr>
            <w:tcW w:w="10020" w:type="dxa"/>
            <w:gridSpan w:val="8"/>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三、哨位集成系统（含联动报警系统）</w:t>
            </w:r>
          </w:p>
        </w:tc>
        <w:tc>
          <w:tcPr>
            <w:tcW w:w="30" w:type="dxa"/>
            <w:tcBorders>
              <w:top w:val="nil"/>
              <w:left w:val="nil"/>
              <w:bottom w:val="nil"/>
              <w:right w:val="nil"/>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30" w:hRule="atLeast"/>
        </w:trPr>
        <w:tc>
          <w:tcPr>
            <w:tcW w:w="10020" w:type="dxa"/>
            <w:gridSpan w:val="8"/>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r>
              <w:rPr>
                <w:rFonts w:hint="eastAsia" w:ascii="宋体" w:hAnsi="宋体" w:eastAsia="宋体" w:cs="宋体"/>
                <w:i w:val="0"/>
                <w:color w:val="000000"/>
                <w:kern w:val="0"/>
                <w:sz w:val="21"/>
                <w:szCs w:val="21"/>
                <w:u w:val="none"/>
                <w:lang w:val="en-US" w:eastAsia="zh-CN" w:bidi="ar"/>
              </w:rPr>
              <w:t>3.1 中队勤务值班室</w:t>
            </w:r>
          </w:p>
        </w:tc>
        <w:tc>
          <w:tcPr>
            <w:tcW w:w="30" w:type="dxa"/>
            <w:tcBorders>
              <w:top w:val="nil"/>
              <w:left w:val="nil"/>
              <w:bottom w:val="nil"/>
              <w:right w:val="nil"/>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112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平台服务器</w:t>
            </w:r>
          </w:p>
        </w:tc>
        <w:tc>
          <w:tcPr>
            <w:tcW w:w="457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1.配置≥1颗HG7163(≥16核≥2.4GHz主频) CPU；2.配置≥32GB DDR4内存；3.配置≥2块600GB SAS，配置SAS_HBA卡；4.配置≥2个1GbE网口；5.配置550W(1+1)冗余电源；6.配置≥16DIMM内存槽。</w:t>
            </w:r>
          </w:p>
        </w:tc>
        <w:tc>
          <w:tcPr>
            <w:tcW w:w="713"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101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30" w:type="dxa"/>
            <w:tcBorders>
              <w:top w:val="nil"/>
              <w:left w:val="nil"/>
              <w:bottom w:val="nil"/>
              <w:right w:val="nil"/>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2</w:t>
            </w:r>
          </w:p>
        </w:tc>
        <w:tc>
          <w:tcPr>
            <w:tcW w:w="112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智能应急控制终端</w:t>
            </w:r>
          </w:p>
        </w:tc>
        <w:tc>
          <w:tcPr>
            <w:tcW w:w="457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支持一键触发6类（暴狱事件、越狱事件、恐怖袭击、自然灾害、劫持事件、突发事件）主动报警；2、支持12个哨位子弹箱应急控制；3、支持串口信号传输；4、支持开关量信号传输；5、可在哨位故障时，通过哨位的一键报警实现应急报警联动；6、可在系统无故障，网络通畅时为使用正常状态，当系统故障，网络堵塞时自动切换为应急状态；7、可实现打开申请哨位子弹箱操作、子弹箱全部打开操作；8、支持在系统无故障时为待机状态，当系统故障时自动切换为应急状态；支持通信状态显示、设备状态显示。申请供弹提示，子弹箱状态提示，报警状态提示；支持枪柜设备状态实时显示（提供第三方权威机构出具的检测报告复印件并加盖公章，原件备查）；</w:t>
            </w:r>
          </w:p>
        </w:tc>
        <w:tc>
          <w:tcPr>
            <w:tcW w:w="713"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101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30" w:type="dxa"/>
            <w:tcBorders>
              <w:top w:val="nil"/>
              <w:left w:val="nil"/>
              <w:bottom w:val="nil"/>
              <w:right w:val="nil"/>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color w:val="000000"/>
                <w:kern w:val="0"/>
                <w:sz w:val="23"/>
                <w:szCs w:val="23"/>
              </w:rPr>
            </w:pPr>
            <w:r>
              <w:rPr>
                <w:rFonts w:hint="eastAsia" w:ascii="宋体" w:hAnsi="宋体" w:eastAsia="宋体" w:cs="宋体"/>
                <w:i w:val="0"/>
                <w:color w:val="000000"/>
                <w:kern w:val="0"/>
                <w:sz w:val="21"/>
                <w:szCs w:val="21"/>
                <w:u w:val="none"/>
                <w:lang w:val="en-US" w:eastAsia="zh-CN" w:bidi="ar"/>
              </w:rPr>
              <w:t>3</w:t>
            </w:r>
          </w:p>
        </w:tc>
        <w:tc>
          <w:tcPr>
            <w:tcW w:w="112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智能哨位声光报警器</w:t>
            </w:r>
          </w:p>
        </w:tc>
        <w:tc>
          <w:tcPr>
            <w:tcW w:w="457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color w:val="000000"/>
                <w:kern w:val="0"/>
                <w:sz w:val="23"/>
                <w:szCs w:val="23"/>
              </w:rPr>
            </w:pPr>
            <w:r>
              <w:rPr>
                <w:rFonts w:hint="eastAsia" w:ascii="宋体" w:hAnsi="宋体" w:eastAsia="宋体" w:cs="宋体"/>
                <w:i w:val="0"/>
                <w:color w:val="000000"/>
                <w:kern w:val="0"/>
                <w:sz w:val="21"/>
                <w:szCs w:val="21"/>
                <w:u w:val="none"/>
                <w:lang w:val="en-US" w:eastAsia="zh-CN" w:bidi="ar"/>
              </w:rPr>
              <w:t>1、报警类型：冲闯、破坏、袭击、灾害等(不低于5种）；2、报警的同时通过喇叭提示报警状态及预案措施；3、通过LED屏的滚动字幕提示报警状态及预案措施；4、通过网络进行报警信息发送；5、可通过平台设置滚动标语文字；6、支持外接定阻8欧30瓦号角；7、在没有报警的状态下，LED屏可滚动各种信息，如日期，时间等，报警状态结束后，可自动恢复。</w:t>
            </w:r>
          </w:p>
        </w:tc>
        <w:tc>
          <w:tcPr>
            <w:tcW w:w="713"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101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30" w:type="dxa"/>
            <w:tcBorders>
              <w:top w:val="nil"/>
              <w:left w:val="nil"/>
              <w:bottom w:val="nil"/>
              <w:right w:val="nil"/>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4</w:t>
            </w:r>
          </w:p>
        </w:tc>
        <w:tc>
          <w:tcPr>
            <w:tcW w:w="112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指纹采集仪</w:t>
            </w:r>
          </w:p>
        </w:tc>
        <w:tc>
          <w:tcPr>
            <w:tcW w:w="457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采集时间：﹤0.5s；比对时间：﹤1s；指纹验证方式：1:1，指纹搜索：1:N；2、拒真率：﹤0.001%；认假率：﹤0.0001%；匹配阀值：9等级；3、传感器类型：半导体电容式传感器；存储指纹数量：≥3000枚；4、传输接口类型：标准 USB2.0接口；5、数据传输快捷、轻巧设计，便于携带、耐磨、防震抗破坏性强、抗静电干扰。</w:t>
            </w:r>
          </w:p>
        </w:tc>
        <w:tc>
          <w:tcPr>
            <w:tcW w:w="713"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101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30" w:type="dxa"/>
            <w:tcBorders>
              <w:top w:val="nil"/>
              <w:left w:val="nil"/>
              <w:bottom w:val="nil"/>
              <w:right w:val="nil"/>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color w:val="000000"/>
                <w:kern w:val="0"/>
                <w:sz w:val="23"/>
                <w:szCs w:val="23"/>
              </w:rPr>
            </w:pPr>
            <w:r>
              <w:rPr>
                <w:rFonts w:hint="eastAsia" w:ascii="宋体" w:hAnsi="宋体" w:eastAsia="宋体" w:cs="宋体"/>
                <w:i w:val="0"/>
                <w:color w:val="000000"/>
                <w:kern w:val="0"/>
                <w:sz w:val="21"/>
                <w:szCs w:val="21"/>
                <w:u w:val="none"/>
                <w:lang w:val="en-US" w:eastAsia="zh-CN" w:bidi="ar"/>
              </w:rPr>
              <w:t>5</w:t>
            </w:r>
          </w:p>
        </w:tc>
        <w:tc>
          <w:tcPr>
            <w:tcW w:w="112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智能勤务调度主机</w:t>
            </w:r>
          </w:p>
        </w:tc>
        <w:tc>
          <w:tcPr>
            <w:tcW w:w="457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基于嵌入工低功耗硬件架构，采用国产工业级处理器芯片及Android操作系统,集主控计算、界面交互、视频接入及交换于一体的可视对讲系统；2、具有10.1英寸彩色LCD显示屏，多点电容式触摸屏，分辨率达1280*800；3、支持语音对讲功能，支持与可视对讲智能终端、哨位信息化终端、岗哨门禁终端等进行双向语音可视对讲（提供第三方权威机构出具的检测报告复印件并加盖公章，原件备查）；4、支持语音广播、语音对讲、可视对讲、POC对讲、多方语音会议等功能；5、支持岗哨门禁控制与门状态检测功能，可对岗哨门禁终端进行远程开门、验证开门等控制操作，并实时检测和显示门状态；6、支持可视对讲管控主机、哨位信息化终端、应急控制终端、岗哨门禁终端、智能枪弹柜、两警联动终端、集群车载台、模拟话机、IP话机、4G单兵、手机等终端集中接入管理和统一音频调度（配合融合通信后台系统使用）；7、内置500万像素高清数字摄像头（具有硬件遮挡功能，保护隐私)，支持双向视频通话；采用H.264编码；8、内置3W扬声器和话筒咪头，用于免提通话、接收群呼广播和监听；9、支持多种方式通话方式：免提(话筒杆)、手提（手柄）等；10、支持全区、分区、任意终端进行喊话广播；11、支持来、去电显示功能，来电语音播报，呼叫转移；12、支持音视频多方通话，最高支持四方实时视频通话；13、支持监听监视、循环监测查看终端状态；14、支持SIP协议，可单独接入VOIP电话系统(主流IP-PBX)；15、支持1个HDMI、2个USB、1路本地音频输入输出；16、支持 2路报警输入输出、1路RS485、1路12V可控电压输出；17、带权限操作功能，特殊权限操作需核对身份（输入密码或指纹）；18、内置硬件看门狗和软件看门狗功能，支持长时间工作；</w:t>
            </w:r>
          </w:p>
        </w:tc>
        <w:tc>
          <w:tcPr>
            <w:tcW w:w="713"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101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30" w:type="dxa"/>
            <w:tcBorders>
              <w:top w:val="nil"/>
              <w:left w:val="nil"/>
              <w:bottom w:val="nil"/>
              <w:right w:val="nil"/>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10020" w:type="dxa"/>
            <w:gridSpan w:val="8"/>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r>
              <w:rPr>
                <w:rFonts w:hint="eastAsia" w:ascii="宋体" w:hAnsi="宋体" w:eastAsia="宋体" w:cs="宋体"/>
                <w:i w:val="0"/>
                <w:color w:val="000000"/>
                <w:kern w:val="0"/>
                <w:sz w:val="21"/>
                <w:szCs w:val="21"/>
                <w:u w:val="none"/>
                <w:lang w:val="en-US" w:eastAsia="zh-CN" w:bidi="ar"/>
              </w:rPr>
              <w:t>3.2 自卫哨</w:t>
            </w:r>
          </w:p>
        </w:tc>
        <w:tc>
          <w:tcPr>
            <w:tcW w:w="30" w:type="dxa"/>
            <w:tcBorders>
              <w:top w:val="nil"/>
              <w:left w:val="nil"/>
              <w:bottom w:val="nil"/>
              <w:right w:val="nil"/>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112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哨位信息化终端（警卫拓展型）</w:t>
            </w:r>
          </w:p>
        </w:tc>
        <w:tc>
          <w:tcPr>
            <w:tcW w:w="457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哨位信息终端基于嵌入工业级低功耗硬件架构，采用国产工业级处理器芯片和嵌入式Linux实时多任务系统,集主控计算、界面交互、视频接入及交换于一体综合交互服务。2、支持9路1080P/16路720P视频实时解码显示；支持1/4/9/16画面切换；支持主、子码流切换；支持视频截图、录像、截图录像回查等功能；支持本地视频分组显示，支持分组视频快捷切换；支持视频轮巡。3、实现六种分类报警功能：冲闯、破坏、袭击、灾害、劫持、突发。4、实现哨兵自主调阅监控画面和操控云台 。5、支持哨位终端与门禁终端可视对讲、远程开门功能。6、系统或网络瘫痪时可支持物理紧急报警。7、通过指纹识别方式实现查哨、换岗考勤系统，全程进行拍照，监控，照片可以实时传回勤务值班室。8、集成武警专线电话和监所内部电话 。9、警戒区域语音警告、鸣枪警告功能，异常情况对管辖区域内进行喊话功能。10、紧急情况申请子弹功能。11、支持视频监控物理按键通道选择、切换视频、分屏和设置等功能；通过哨位信息化终端面板控制键盘按键，手动切换显示、手动任意调用\切换监控画面、单\多画面切换分屏等功能。12、内置2个19寸10点电容触摸3MM防爆触摸显示屏，亮度可调节，分辨率1440*900 ，可切换视频全屏及防区视频实时观看功能。13、支持可视化兵力（哨位）部署图应用，兵力分布实时掌握。14、支持通道选择、云台控制、镜头变倍等触摸操作；具备通过物理按键和摇杆实现通道选择、云台控制、镜头变倍功能快捷操作；具备触摸屏选择云台控制的混合操作方式。15、触摸显示屏具备一键180度倒屏功能。16、可外接16路开关量报警信号输入及6路常开或常闭报警输出。17、报警触发时，所有报警信号都会以文字、声音、图形等形式呈现。18、子弹箱具有本地与远程强制打开功能，前端强制打开子弹箱报警录像功能。19、可与值班室实现网络对讲，网络对讲支持VoIP协议、支持号码输入功能。20、交换机非标配，21、可拓展嵌入100W功放模块；22、可拓展UPS功能；23、可拓展嵌入标准1U机架式光端机。</w:t>
            </w:r>
          </w:p>
        </w:tc>
        <w:tc>
          <w:tcPr>
            <w:tcW w:w="713"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711"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1014"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30" w:type="dxa"/>
            <w:tcBorders>
              <w:top w:val="nil"/>
              <w:left w:val="nil"/>
              <w:bottom w:val="nil"/>
              <w:right w:val="nil"/>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auto" w:sz="6" w:space="0"/>
              <w:bottom w:val="single" w:color="auto" w:sz="4"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2</w:t>
            </w:r>
          </w:p>
        </w:tc>
        <w:tc>
          <w:tcPr>
            <w:tcW w:w="1121" w:type="dxa"/>
            <w:tcBorders>
              <w:top w:val="nil"/>
              <w:left w:val="nil"/>
              <w:bottom w:val="single" w:color="auto" w:sz="4"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功放模块</w:t>
            </w:r>
          </w:p>
        </w:tc>
        <w:tc>
          <w:tcPr>
            <w:tcW w:w="4571" w:type="dxa"/>
            <w:tcBorders>
              <w:top w:val="nil"/>
              <w:left w:val="nil"/>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1、功率：最大100W；2、输出：双路输出；3、支持莲花头话筒音频输入。</w:t>
            </w:r>
          </w:p>
        </w:tc>
        <w:tc>
          <w:tcPr>
            <w:tcW w:w="713" w:type="dxa"/>
            <w:tcBorders>
              <w:top w:val="nil"/>
              <w:left w:val="single" w:color="auto" w:sz="4" w:space="0"/>
              <w:bottom w:val="single" w:color="auto" w:sz="4"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nil"/>
              <w:left w:val="nil"/>
              <w:bottom w:val="single" w:color="auto" w:sz="4" w:space="0"/>
              <w:right w:val="single" w:color="auto" w:sz="6"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nil"/>
              <w:left w:val="nil"/>
              <w:bottom w:val="single" w:color="auto" w:sz="4" w:space="0"/>
              <w:right w:val="single" w:color="auto" w:sz="4"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711" w:type="dxa"/>
            <w:tcBorders>
              <w:top w:val="nil"/>
              <w:left w:val="single" w:color="auto" w:sz="4" w:space="0"/>
              <w:bottom w:val="single" w:color="auto" w:sz="4"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1014" w:type="dxa"/>
            <w:tcBorders>
              <w:top w:val="nil"/>
              <w:left w:val="nil"/>
              <w:bottom w:val="single" w:color="auto" w:sz="4" w:space="0"/>
              <w:right w:val="single" w:color="auto" w:sz="6"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p>
        </w:tc>
        <w:tc>
          <w:tcPr>
            <w:tcW w:w="30" w:type="dxa"/>
            <w:tcBorders>
              <w:top w:val="nil"/>
              <w:left w:val="nil"/>
              <w:bottom w:val="single" w:color="auto" w:sz="4" w:space="0"/>
              <w:right w:val="nil"/>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3</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高音喇叭</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100W</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个</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4</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多业务光端机</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单模SC接口、1路百兆网络接口、2路电话、1路双向485接口</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对</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10050" w:type="dxa"/>
            <w:gridSpan w:val="9"/>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r>
              <w:rPr>
                <w:rFonts w:hint="eastAsia" w:ascii="宋体" w:hAnsi="宋体" w:eastAsia="宋体" w:cs="宋体"/>
                <w:i w:val="0"/>
                <w:color w:val="000000"/>
                <w:kern w:val="0"/>
                <w:sz w:val="21"/>
                <w:szCs w:val="21"/>
                <w:u w:val="none"/>
                <w:lang w:val="en-US" w:eastAsia="zh-CN" w:bidi="ar"/>
              </w:rPr>
              <w:t>3.3 一号哨</w:t>
            </w: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哨位信息化终端（哨位拓展型）</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哨位信息终端基于嵌入工业级低功耗硬件架构，采用国产工业级处理器芯片和嵌入式Linux实时多任务系统,集主控计算、界面交互、视频接入及交换于一体综合交互服务。2、支持16路1080P/32路720P视频实时解码显示；支持1/4/9/16画面切换；支持主、子码流切换；支持视频截图、录像、截图录像回查等功能；支持本地视频分组显示，支持分组视频快捷切换；支持视频轮巡。3、实现六种分类报警功能：暴狱、越狱、袭击、灾害、劫持、突发。4、实现哨兵自主调阅监控画面和操控云台 。5、支持哨位终端与门禁终端可视对讲、远程开门功能。6、系统或网络瘫痪时可支持物理紧急报警。7、通过指纹识别方式实现查哨、换岗考勤系统，全程进行拍照，监控，照片可以实时传回勤务值班室。8、集成武警专线电话和监所内部电话。 9、警戒区域语音警告、鸣枪警告功能，异常情况对管辖区域内进行喊话功能。10、紧急情况申请子弹功能。11、支持视频监控物理按键通道选择、切换视频、分屏和设置等功能；通过哨位信息化终端面板控制键盘按键，手动切换显示、手动任意调用\切换监控画面、单\多画面切换分屏等功能。12、内置2个19寸10点电容触摸3MM防爆触摸显示屏，亮度可调节，分辨率1440*900 ，可切换视频全屏及防区视频实时观看功能。13、支持可视化兵力（哨位）部署图应用，兵力分布实时掌握。14、支持通道选择、云台控制、镜头变倍等触摸操作；具备通过物理按键和摇杆实现通道选择、云台控制、镜头变倍功能快捷操作；具备触摸屏选择云台控制的混合操作方式。15、触摸显示屏具备一键180度倒屏功能。16、可外接16路开关量报警信号输入及6路常开或常闭报警输出。17、报警触发时，所有报警信号都会以文字、声音、图形等形式呈现。18、子弹箱具有本地与远程强制打开功能，前端强制打开子弹箱报警录像功能。19、可与值班室实现网络对讲，网络对讲支持VoIP协议、支持号码输入功能。20、交换机非标配，21、可拓展嵌入100W功放模块；22、可拓展UPS功能；23、可拓展嵌入标准1U机架式光端机；</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2</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功放模块</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1、功率：最大100W；2、输出：双路输出；3、支持莲花头话筒音频输入。</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3</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高音喇叭</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100W</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个</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4</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多业务光端机</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单模SC接口、1路百兆网络接口、2路电话、1路双向485接口</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对</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10020" w:type="dxa"/>
            <w:gridSpan w:val="8"/>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r>
              <w:rPr>
                <w:rFonts w:hint="eastAsia" w:ascii="宋体" w:hAnsi="宋体" w:eastAsia="宋体" w:cs="宋体"/>
                <w:i w:val="0"/>
                <w:color w:val="000000"/>
                <w:kern w:val="0"/>
                <w:sz w:val="21"/>
                <w:szCs w:val="21"/>
                <w:u w:val="none"/>
                <w:lang w:val="en-US" w:eastAsia="zh-CN" w:bidi="ar"/>
              </w:rPr>
              <w:t>3.4 二号哨</w:t>
            </w: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哨位信息化终端（哨位拓展型）</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哨位信息终端基于嵌入工业级低功耗硬件架构，采用国产工业级处理器芯片和嵌入式Linux实时多任务系统,集主控计算、界面交互、视频接入及交换于一体综合交互服务。2、支持16路1080P/32路720P视频实时解码显示；支持1/4/9/16画面切换；支持主、子码流切换；支持视频截图、录像、截图录像回查等功能；支持本地视频分组显示，支持分组视频快捷切换；支持视频轮巡。3、实现六种分类报警功能：暴狱、越狱、袭击、灾害、劫持、突发。4、实现哨兵自主调阅监控画面和操控云台 。5、支持哨位终端与门禁终端可视对讲、远程开门功能。6、系统或网络瘫痪时可支持物理紧急报警。7、通过指纹识别方式实现查哨、换岗考勤系统，全程进行拍照，监控，照片可以实时传回勤务值班室。8、集成武警专线电话和监所内部电话。 9、警戒区域语音警告、鸣枪警告功能，异常情况对管辖区域内进行喊话功能。10、紧急情况申请子弹功能。11、支持视频监控物理按键通道选择、切换视频、分屏和设置等功能；通过哨位信息化终端面板控制键盘按键，手动切换显示、手动任意调用\切换监控画面、单\多画面切换分屏等功能。12、内置2个19寸10点电容触摸3MM防爆触摸显示屏，亮度可调节，分辨率1440*900 ，可切换视频全屏及防区视频实时观看功能。13、支持可视化兵力（哨位）部署图应用，兵力分布实时掌握。14、支持通道选择、云台控制、镜头变倍等触摸操作；具备通过物理按键和摇杆实现通道选择、云台控制、镜头变倍功能快捷操作；具备触摸屏选择云台控制的混合操作方式。15、触摸显示屏具备一键180度倒屏功能。16、可外接16路开关量报警信号输入及6路常开或常闭报警输出。17、报警触发时，所有报警信号都会以文字、声音、图形等形式呈现。18、子弹箱具有本地与远程强制打开功能，前端强制打开子弹箱报警录像功能。19、可与值班室实现网络对讲，网络对讲支持VoIP协议、支持号码输入功能。20、交换机非标配，21、可拓展嵌入100W功放模块；22、可拓展UPS功能；23、可拓展嵌入标准1U机架式光端机；</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2</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功放模块</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1、功率：最大100W；2、输出：双路输出；3、支持莲花头话筒音频输入。</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3</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高音喇叭</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100W</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个</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4</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多业务光端机</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单模SC接口、1路百兆网络接口、2路电话、1路双向485接口</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对</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10020" w:type="dxa"/>
            <w:gridSpan w:val="8"/>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r>
              <w:rPr>
                <w:rFonts w:hint="eastAsia" w:ascii="宋体" w:hAnsi="宋体" w:eastAsia="宋体" w:cs="宋体"/>
                <w:i w:val="0"/>
                <w:color w:val="000000"/>
                <w:kern w:val="0"/>
                <w:sz w:val="21"/>
                <w:szCs w:val="21"/>
                <w:u w:val="none"/>
                <w:lang w:val="en-US" w:eastAsia="zh-CN" w:bidi="ar"/>
              </w:rPr>
              <w:t>3.5 监门哨和备勤室</w:t>
            </w: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哨位信息化终端（监门哨）</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哨位信息终端基于嵌入工业级低功耗硬件架构，采用国产工业级处理器芯片和嵌入式Linux实时多任务系统,集主控计算、界面交互、视频接入及交换于一体综合交互服务。2、支持9路1080P/16路720P视频实时解码显示；支持1/4/9/16画面切换；支持主、子码流切换；支持视频截图、录像、截图录像回查等功能；支持本地视频分组显示，支持分组视频快捷切换；支持视频轮巡。3、实现六种分类报警功能：暴狱、越狱、袭击、灾害、劫持、突发。4、实现哨兵自主调阅监控画面和操控云台 。5、支持哨位终端与门禁终端可视对讲、远程开门功能。6、系统或网络瘫痪时可支持物理紧急报警。7、通过指纹识别方式实现查哨、换岗考勤系统，全程进行拍照，监控，照片可以实时传回勤务值班室。8、集成武警专线电话和监所内部电话。 9、警戒区域语音警告、鸣枪警告功能，异常情况对管辖区域内进行喊话功能。10、紧急情况申请子弹功能。11、支持视频监控物理按键通道选择、切换视频、分屏和设置等功能；通过哨位信息化终端面板控制键盘按键，手动切换显示、手动任意调用\切换监控画面、单\多画面切换分屏等功能。12、内置3个19寸10点电容触摸3MM防爆触摸显示屏 ，亮度可调节，分辨率1440*900 ，可切换视频全屏及防区视频实时观看功能。13、支持可视化兵力（哨位）部署图应用，兵力分布实时掌握。14、支持通道选择、云台控制、镜头变倍等触摸操作；具备通过物理按键和摇杆实现通道选择、云台控制、镜头变倍功能快捷操作；具备触摸屏选择云台控制的混合操作方式。15、触摸显示屏具备一键180度倒屏功能。16、可外接16路开关量报警信号输入及6路常开或常闭报警输出。17、报警触发时，所有报警信号都会以文字、声音、图形等形式呈现。18、子弹箱具有本地与远程强制打开功能，前端强制打开子弹箱报警录像功能。19、可与值班室实现网络对讲，网络对讲支持VoIP协议、支持号码输入功能。20、交换机非标配，21、可拓展嵌入100W功放模块；22、可拓展UPS功能；</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2</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哨位信息化终端（哨位简约型）</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哨位信息终端基于嵌入工业级低功耗硬件架构，采用国产工业级处理器芯片和嵌入式Linux实时多任务系统,集主控计算、界面交互、视频接入及交换于一体综合交互服务。2、支持9路1080P/16路720P视频实时解码显示；支持1/4/9/16画面切换；支持主、子码流切换；支持视频截图、录像、截图录像回查等功能；支持本地视频分组显示，支持分组视频快捷切换；支持视频轮巡。3、实现六种分类报警功能：暴狱、越狱、袭击、灾害、劫持、突发。4、实现哨兵自主调阅监控画面和操控云台 。5、支持哨位终端与门禁终端可视对讲、远程开门功能。6、系统或网络瘫痪时可支持物理紧急报警。7、通过指纹识别方式实现查哨、换岗考勤系统，全程进行拍照，监控，照片可以实时传回勤务值班室。8、集成武警专线电话和监所内部电话 。9、警戒区域语音警告、鸣枪警告功能，异常情况对管辖区域内进行喊话功能。10、支持视频监控物理按键通道选择、切换视频、分屏和设置等功能；通过哨位信息化终端面板控制键盘按键，手动切换显示、手动任意调用\切换监控画面、单\多画面切换分屏等功能。11、内置1个19寸10点电容触摸3MM防爆触摸显示屏 ，亮度可调节，分辨率1440*900 ，可切换视频全屏及防区视频实时观看功能。12、支持可视化兵力（哨位）部署图应用，兵力分布实时掌握。13、支持通道选择、云台控制、镜头变倍等触摸操作；具备通过物理按键和摇杆实现通道选择、云台控制、镜头变倍功能快捷操作；具备触摸屏选择云台控制的混合操作方式。14、触摸显示屏具备一键180度倒屏功能。15、可外接16路开关量报警信号输入及6路常开或常闭报警输出。16、报警触发时，所有报警信号都会以文字、声音、图形等形式呈现。17、可与值班室实现网络对讲，网络对讲支持VoIP协议、支持号码输入功能。</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3</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功放模块</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1、功率：最大100W；2、输出：双路输出；3、支持莲花头话筒音频输入。</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4</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高音喇叭</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100W</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个</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5</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多业务光端机</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单模SC接口、1路百兆网络接口、2路电话、1路双向485接口</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对</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10020" w:type="dxa"/>
            <w:gridSpan w:val="8"/>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r>
              <w:rPr>
                <w:rFonts w:hint="eastAsia" w:ascii="宋体" w:hAnsi="宋体" w:eastAsia="宋体" w:cs="宋体"/>
                <w:i w:val="0"/>
                <w:color w:val="000000"/>
                <w:kern w:val="0"/>
                <w:sz w:val="21"/>
                <w:szCs w:val="21"/>
                <w:u w:val="none"/>
                <w:lang w:val="en-US" w:eastAsia="zh-CN" w:bidi="ar"/>
              </w:rPr>
              <w:t>3.6 看守所值班室</w:t>
            </w: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两警联动终端</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r>
              <w:rPr>
                <w:rFonts w:hint="eastAsia" w:ascii="宋体" w:hAnsi="宋体" w:eastAsia="宋体" w:cs="宋体"/>
                <w:i w:val="0"/>
                <w:color w:val="000000"/>
                <w:kern w:val="0"/>
                <w:sz w:val="21"/>
                <w:szCs w:val="21"/>
                <w:u w:val="none"/>
                <w:lang w:val="en-US" w:eastAsia="zh-CN" w:bidi="ar"/>
              </w:rPr>
              <w:t>1、执勤报警：支持六种分类一键报警功能，分别为冲闯、破坏、袭击、灾害、劫持、突发；2、无需增加后台服务器，与武警勤务管控平台无缝对接，实现报警两警联动；3、报警触发：所有报警信号支持文字提示、声音播报、报警灯闪烁工能；4、报警联动：终端液晶屏支持显示报警状态、报警联动视频功能；5、支持10.1寸显示屏；6、具备4路1080P视频实时解码能力；7、支持与武警值班室应急可视语音对讲功能；8、终端自带加密主机，支持两警网络物理隔离，加密信号通过光纤传输，确保两警网络保密安全；9、支持拓展外接一部电话机；10、使用网络物理隔离，确保两警信息安全，支持光纤传输数据；11、支持与武警执勤安保信息系统连接实现两警联防联动执勤；12、前置摄像机具备人脸查哨、换岗，验证识别和登录等功能。</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2</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千兆网络收发器</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利旧</w:t>
            </w: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3</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8路电话光端机</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利旧</w:t>
            </w: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10020" w:type="dxa"/>
            <w:gridSpan w:val="8"/>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r>
              <w:rPr>
                <w:rFonts w:hint="eastAsia" w:ascii="宋体" w:hAnsi="宋体" w:eastAsia="宋体" w:cs="宋体"/>
                <w:i w:val="0"/>
                <w:color w:val="000000"/>
                <w:kern w:val="0"/>
                <w:sz w:val="21"/>
                <w:szCs w:val="21"/>
                <w:u w:val="none"/>
                <w:lang w:val="en-US" w:eastAsia="zh-CN" w:bidi="ar"/>
              </w:rPr>
              <w:t>四、执勤枪支管理系统：一、二号哨（各1套）</w:t>
            </w: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枪械离岗检测主机</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采用最新UWB技术，抗干扰强；2、唯一标识：每个岗亭安装基站、枪标，全网唯一ID标识；3、精确测量：岗亭上的基站能实时测量100m半径范围内枪标的精确距离；4、报警联动：同一区域实现岗亭与枪标、岗亭与岗亭之间报警联动；5、 离位报警：一旦枪标离开合法区域，立刻触发基站声光报警器及平台报警；6、系统管理：枪标、基站管理，报警信息的历史查询功能等；7、阅读主机对枪支ID标识识别距离20米；8、主机误识误判率不高于0.1 % 报警信号发出延时不大于l. 5S；9、报警延时＜0.5秒；10、同步感知终端数＞10个</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2</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2</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枪械离岗电子标签</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唯一标识：每个岗亭安装基站、枪标，全网唯一ID标识；2、采用最新UWB技术，抗干扰强；3、离位报警：一旦枪标离开合法区域，立刻触发基站声光报警器及平台报警；4、低压报警：一旦枪标出现欠压情况，立刻触发基站声光报警器及平台报警；5、防拆报警：一旦枪标出现非法拆卸情况，立刻触发基站声光报警器及平台报警；6、 电子标签续航能力: ＞60天；7、 报警信息存储时间: ＞100；。</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4</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10050" w:type="dxa"/>
            <w:gridSpan w:val="9"/>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r>
              <w:rPr>
                <w:rFonts w:hint="eastAsia" w:ascii="宋体" w:hAnsi="宋体" w:eastAsia="宋体" w:cs="宋体"/>
                <w:i w:val="0"/>
                <w:color w:val="000000"/>
                <w:kern w:val="0"/>
                <w:sz w:val="21"/>
                <w:szCs w:val="21"/>
                <w:u w:val="none"/>
                <w:lang w:val="en-US" w:eastAsia="zh-CN" w:bidi="ar"/>
              </w:rPr>
              <w:t>五、无线手动报警系统：自卫哨和一、二号哨（各1套）</w:t>
            </w: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无线报警主机</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支持接收无线报警手持终端的一键报警功能；2、无缝对接哨位系统勤务管控平台实现报警联动功能；3、灵活配置可同时使用多台报警主机实现无线网络交叉覆盖；4、工作频率：采用433MHz独立频段通讯，安全可靠，不受外界信号干扰；</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5、识别距离：采用无线通信，空旷通讯距离能达到2km；6、 硬件接口：支持RS232或者RS485、2个以太网；7、 处理并发报警：可同时处理6个报警信号；8、识别方向：全向；9、天线接口：SMA天线标准接口；10、扩展功能：可以扩展支持3G/4G和WIFI；11、接收灵敏度：&lt;-107dBm；12、支持通信速率6级可调节功能；13、多层保护电路：无线报警主机拥有以太网接口内置1.5KV电磁隔离保护电路，电源接口内置反相保护和过压保护电路，天线接口防雷保护电路，RS232/RS485/RS422接口内置15KVESD等多层保护电路；14、高性能处理：高性能处理，系统稳定：无线报警主机采用WDT看门狗设计的高性能工业级LoRa模块，采用高性能工业级无线模块和高性能工业级32位通信处理器；15、一键报警功能：支持接收无线报警便捷终端的一键报警功能；16、无缝对接：无缝对接哺位系统勤务管控平台实现报警联动功能；17、设备管理：提供功能强大的中心管理软件，方便设备管理。</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3</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2</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无线报警便携终端</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工作频率：433MHz；2、通讯距离：2km（室内）9km(室外)；3、硬件接口：不低于5类报警按钮、1个信号测试按钮；4、续航时间：超过20天,待机3个月；5、识别方向：全向；6、天线接口：SMA天线标准接口；7、接收灵敏度：&lt;-107dBm；8、支持OTA升级功能、支持空中唤醒功能；9、多数据自动分包传输，保证数据包的完整不丢失；10、高效的循环交织纠错编码。</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6</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10020" w:type="dxa"/>
            <w:gridSpan w:val="8"/>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r>
              <w:rPr>
                <w:rFonts w:hint="eastAsia" w:ascii="宋体" w:hAnsi="宋体" w:eastAsia="宋体" w:cs="宋体"/>
                <w:i w:val="0"/>
                <w:color w:val="000000"/>
                <w:kern w:val="0"/>
                <w:sz w:val="21"/>
                <w:szCs w:val="21"/>
                <w:u w:val="none"/>
                <w:lang w:val="en-US" w:eastAsia="zh-CN" w:bidi="ar"/>
              </w:rPr>
              <w:t>六、电子围栏和激光对射报警系统</w:t>
            </w: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大型网络总线报警主机</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 支持本地≥8路防区+总线扩展248路防区，共计256路防区报警输入；支持4路本地防区报警输出，可扩展至256路；支持触发器时控输出；2. 支持两条总线，每条可达≥2400M（RVV2*1.5mm²），支持星型、树形、手牵手总线拓扑，总线无极性；3. 支持定时布撤防，每天≥8个时段；支持≥8个子系统和一个公共子系统；支持主机防拆报警；支持探测器防拆报警（本地≥8路）；支持≥1路受控警号（DC12V750mA）输出；4. 支持CID报告，支持话机复用；5. 支持防区报警、系统状态事件联动输出，发生/恢复事件和时间可灵活配置；6. 支持≥4个独立中心组，可灵活配置报警数据上传策略、冗余备份策略；7. 支持两种传输模式：网络传输、电话线传输，支持2组独立以太网接警中心，支持2组独立电话接警中心；8. 支持≥32个LCD键盘包括1个全局键盘和31个子系统键盘，键盘总线总长度不得大于1.2km（Φ1.5mm）；9. 支持≥1个安装员用户、≥1个主用户、≥199个操作用户；支持≥16个远程管理用户，1个远程数据通道；10. 支持≥8000条报警事件记录，≥2000条操作事件和≥1500条管理操作记录，支持远程搜索查询事件日志；11. 支持外置辅助电源--标准蓄电池，自动充电控制，电压实时监测，掉电保护；12. 支持AC220V电源供电,主辅电源可自动切换，支持警号、辅助、键盘等电源保护，支持1路12V/1A辅电输出。</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2</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双防区模块</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总线网络报警主机八防区扩展模块/8个扩展防区数/31最大级联数/2.7mA。</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2</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3</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双防区脉冲探测器</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1.4线制显示每个防区的工作电压值2.电压值可无级调控3.显示每个防区的工作电流值4.防区报警显示5.实时监控每个防区情况6.脉冲频率可调控7.报警响应时间调控8.继电器报警输出时间可调控9.采用4.3寸真彩屏设计10.内置拨码式单地址码模块，自带拨码开关，使用多防区时无须另外增加地址码模块，可以直接接入485总线与中心控制设备通信。</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2</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4</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电子脉冲围栏</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六线电子脉冲围栏，单防区长度＜40米，承重杆间隔＜40米，中间杆间隔小于4.5米；含合金线、受力柱、受力柱底座、不锈钢受力柱、双绝缘高压线等配套设备。</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300</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米</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5</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激光入侵探测器</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四光束激光入侵探测器,探测距离100米,、防护等级：IP67、 材质，铝合金、一类安全激光光源，等级为CLASS Ⅰ</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5</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对</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6</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支架</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不锈钢材质L型，支持激光入侵探测器安装，高度不低于50cm。</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10</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个</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10020" w:type="dxa"/>
            <w:gridSpan w:val="8"/>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r>
              <w:rPr>
                <w:rFonts w:hint="eastAsia" w:ascii="宋体" w:hAnsi="宋体" w:eastAsia="宋体" w:cs="宋体"/>
                <w:i w:val="0"/>
                <w:color w:val="000000"/>
                <w:kern w:val="0"/>
                <w:sz w:val="21"/>
                <w:szCs w:val="21"/>
                <w:u w:val="none"/>
                <w:lang w:val="en-US" w:eastAsia="zh-CN" w:bidi="ar"/>
              </w:rPr>
              <w:t>七、屏幕显示系统</w:t>
            </w: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46寸LCD拼接屏（1.7mm拼缝）</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1.物理分辨率达到1920×1080，响应时间≤8ms。2.物理拼缝≤1.7mm，亮度达到600cd/㎡，对比度达到6500:1，图像显示清晰度≥950TVL，亮度鉴别等级为11级。提供公安部检测报告复印件。3. 具备VGA×1，HDMI×1，DVI×1，BNC×1视频输入接口，具备RJ45×2，USB×1，红外*1控制接口。4. 输出接口：VGA×1，DVI×1，BNC×1。5.视角可达178°。屏幕漏光度小于等于0.006cd/㎡，照度在95KLux能正常工作。6.液晶拼接屏必须采用整机设计，严禁使用飞线屏（供货时如果发现飞线屏，业主有权取消中标资格），显示屏具备完整后壳，不得以支架或挡板替代，无任何裸露在外的电路线，整体美观大方，而且产品符合检测规范。7.具备智能光感护眼功能,液晶单元可自动识别环境光强弱,根据环境光变化调节屏幕亮度。8.支持自动变频节能功能。9.内置黑白精显模式，可将彩色信号转换成黑白灰度模式并提高图像细节辨认能力。10. 支持≥7色独立调整、精确色彩控制、肤色校正功能。内置图像处理引擎支持、RGBCMYF七种颜色亮度(IBC)、色调(IHC)、饱和度(ICC)独立调整。需要具有厂家自带的自动校色系统，不需要人工参与自动对显示器进行色彩属性一致性校准。显示器色温可以以100K为单位，在2000K至10000K之间调节。11. 具备倍增畅显功能,可将输入的25/30 帧图像转成50/60 帧输出,使图像更加流畅。12.通过调整γ曲线，使得实际γ曲线更为平滑且更为准确，从而提升显示设备的显示效果。13.支持自动镜像功能，可以实现显示内容（视频、文本等）镜像、OSD菜单的自定义0-360°旋转。14.采用10bit芯片，显示图像色彩度达到1.07billion，显示256灰阶。15.采用2mm金属结构件，3m辐射范围值在47db以内。16.采用智能温控设计，散热效率提升50%以上。（需提供在招标日期之前由权威机构出具的检测报告复印件，原件备查）17. 产品采用原装屏体，色彩还原度达到JJG211-2005标准要求；18.主板具有信号强度自动检测技术，实时检测信号强度，并在屏幕上显示当前信号强度。19.采用同步显示控制技术、不同信号转换显示无延时、实现同步开机同步显示。20. 液晶显示单元具有色坐标一致性，根据CIE1931标准色度系统，液晶显示单元色坐标误差在±0.01以内。21.风扇具备良好的散热效果，风扇散热性能≥30%。</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6</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2</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12路视频解码器</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 采用嵌入式架构，专用Linux系统，使用DSP解码。不得采用工控机或者PC机的X86架构。2.20个RJ45网络接口，1路语音输入，1路语音输出，1个RS232接口，1个RS485接口，8路报警输入，8路报警输出，1个VGA视频输入接口，1个DVI-I输入接口。输出口支持12个HDMI接口。（需提供在招标日期之前由权威机构出具的检测报告复印件，原件备查）3. 支持1、2、4、6、8、9、10、12、16、25、36画面分割显示。4. 可通过客户端软件将1路输入视频图像发送至多个输出接口拼接显示，支持1×2、1×3、1×4、1×5、1×6、1×7、1×8、1×9、1×10、1×11、1×12、2×1、2×2、2×3、2×4、2×5、2×6、3×1、3×2、3×3、3×4、4×1、4×2、4×3、5×1、5×2、6×1、6×2、7×1、8×1、9×1、10×1、11×1、12×1的拼接显示。5. 可通过客户端软件对接入的云台进行控制；可通过RS-485接口连接键盘实现键盘对接入的云台进行控制。6. 可通过客户端软件对设备进行恢复出厂设置。7. 可将设备当前的解码输出模式设置为一个场景，设备可保存多个场景，并可通过客户端软件切换设备场景。8. 具有NTP校时及客户端软件手动校时两种校时方式。9. 设备通过高温、低温、恒定湿热试验（高温55±2℃，低温-10±3℃，持续时间2H；相对湿度90%~95%、温度40±2℃，持续时间48H）。10. 可对以下分辨率的视频图像进行解码后输出：12路分辨率为4000×3000（20fps）的视频图像；24路分辨率为4096×2160（25fps）的视频图像；24路分辨率为3840×2160（25fps）的视频图像；36路分辨率为2592×1944（30fps）的视频图像；60路分辨率为2048×1536（30fps）的视频图像；96路分辨率为1920×1080（30fps）的视频图像；192路分辨率为1280×720（30fps）的视频图像。11. 可对以下编码格式的视频图像进行解码后输出：H.264、H.265、Smart264、Smart265、MPEG4视频图像。（需提供在招标日期之前由权威机构出具的检测报告复印件，原件备查）12. 可对以下分辨率及编码格式的视频图像进行解码后输出：24路分辨率为1920×1080（30fps）的MJPEG视频图像。</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3</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LED走字屏</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室内单彩，P3.75  3M×0.4M</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2.2</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4</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电视墙</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与武警支队样式统一，下侧设有19寸标准机柜。</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10</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5</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执勤操作台</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val="0"/>
              <w:jc w:val="both"/>
              <w:rPr>
                <w:rFonts w:ascii="宋体" w:hAnsi="宋体" w:cs="宋体"/>
                <w:kern w:val="0"/>
              </w:rPr>
            </w:pP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6</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陶瓷面静电地板</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val="0"/>
              <w:jc w:val="both"/>
              <w:rPr>
                <w:rFonts w:ascii="宋体" w:hAnsi="宋体" w:cs="宋体"/>
                <w:kern w:val="0"/>
              </w:rPr>
            </w:pP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20</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7</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HDMI高清线</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双屏蔽，1.5—10米（可选）</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6</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条</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10020" w:type="dxa"/>
            <w:gridSpan w:val="8"/>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widowControl/>
              <w:jc w:val="left"/>
              <w:rPr>
                <w:rFonts w:ascii="宋体" w:hAnsi="宋体" w:cs="宋体"/>
                <w:kern w:val="0"/>
              </w:rPr>
            </w:pPr>
            <w:r>
              <w:rPr>
                <w:rFonts w:hint="eastAsia" w:ascii="宋体" w:hAnsi="宋体" w:eastAsia="宋体" w:cs="宋体"/>
                <w:i w:val="0"/>
                <w:color w:val="000000"/>
                <w:kern w:val="0"/>
                <w:sz w:val="21"/>
                <w:szCs w:val="21"/>
                <w:u w:val="none"/>
                <w:lang w:val="en-US" w:eastAsia="zh-CN" w:bidi="ar"/>
              </w:rPr>
              <w:t>八、其它</w:t>
            </w: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客户端电脑</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Intel i5六代以上处理器、128G+1T硬盘、8G内存容量、1TB硬盘容量、21.5寸液晶显示器、支持WIN7操作系统。</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2</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42U弱电机柜</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val="0"/>
              <w:jc w:val="both"/>
              <w:rPr>
                <w:rFonts w:ascii="宋体" w:hAnsi="宋体" w:cs="宋体"/>
                <w:kern w:val="0"/>
              </w:rPr>
            </w:pP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台</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3</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六类非屏蔽网线</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1、Cat6非屏蔽双绞线；2、LSZH(低烟无卤)防火等级；3、23AWG；4、工作温度为-20~60℃；5、标准：符合ISO/IEC 11801、TIA-568-C.2、GB/T 18015.5要求；6、所用材料符合RoHS要求；7、并通过符合IEC60332-1标准的LSZH防火等级认证；8、性能指标优于现行6类线缆250MHz标准；9、标准装箱长度:305m±1.5m；10、芯线规格:23AWG；11、无氧铜；12、线缆结构：4对8芯双绞线；13、每对之间采用十字骨架隔离；14、每芯均有颜色区分；15、外皮印有厂商标识及电缆编码；16、有撕裂绳。</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2500</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米</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4</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电源线</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RVV3*2.5</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100</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米</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5</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电源线</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RVV3*1.0</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2000</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米</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r>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6</w:t>
            </w:r>
          </w:p>
        </w:tc>
        <w:tc>
          <w:tcPr>
            <w:tcW w:w="112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辅材配件</w:t>
            </w:r>
          </w:p>
        </w:tc>
        <w:tc>
          <w:tcPr>
            <w:tcW w:w="457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PVC管，卡钉，水晶头，插座等零星材料</w:t>
            </w:r>
          </w:p>
        </w:tc>
        <w:tc>
          <w:tcPr>
            <w:tcW w:w="713"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1</w:t>
            </w:r>
          </w:p>
        </w:tc>
        <w:tc>
          <w:tcPr>
            <w:tcW w:w="68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ascii="宋体" w:hAnsi="宋体" w:cs="宋体"/>
                <w:kern w:val="0"/>
              </w:rPr>
            </w:pPr>
            <w:r>
              <w:rPr>
                <w:rFonts w:hint="eastAsia" w:ascii="宋体" w:hAnsi="宋体" w:eastAsia="宋体" w:cs="宋体"/>
                <w:i w:val="0"/>
                <w:color w:val="000000"/>
                <w:kern w:val="0"/>
                <w:sz w:val="21"/>
                <w:szCs w:val="21"/>
                <w:u w:val="none"/>
                <w:lang w:val="en-US" w:eastAsia="zh-CN" w:bidi="ar"/>
              </w:rPr>
              <w:t>项</w:t>
            </w: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711"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1014"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5" w:type="dxa"/>
              <w:bottom w:w="0" w:type="dxa"/>
              <w:right w:w="105" w:type="dxa"/>
            </w:tcMar>
            <w:vAlign w:val="bottom"/>
          </w:tcPr>
          <w:p>
            <w:pPr>
              <w:widowControl/>
              <w:jc w:val="left"/>
              <w:rPr>
                <w:rFonts w:ascii="宋体" w:hAnsi="宋体" w:cs="宋体"/>
                <w:kern w:val="0"/>
              </w:rPr>
            </w:pPr>
          </w:p>
        </w:tc>
        <w:tc>
          <w:tcPr>
            <w:tcW w:w="30"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0" w:type="dxa"/>
              <w:bottom w:w="0" w:type="dxa"/>
              <w:right w:w="0" w:type="dxa"/>
            </w:tcMar>
            <w:vAlign w:val="center"/>
          </w:tcPr>
          <w:p>
            <w:pPr>
              <w:widowControl/>
              <w:jc w:val="left"/>
              <w:rPr>
                <w:rFonts w:ascii="宋体" w:hAnsi="宋体" w:cs="宋体"/>
                <w:kern w:val="0"/>
              </w:rPr>
            </w:pPr>
          </w:p>
        </w:tc>
      </w:tr>
    </w:tbl>
    <w:p/>
    <w:p>
      <w:pPr>
        <w:rPr>
          <w:rFonts w:hint="eastAsia"/>
        </w:rPr>
      </w:pPr>
    </w:p>
    <w:p>
      <w:pPr>
        <w:widowControl/>
        <w:shd w:val="clear" w:color="auto" w:fill="FFFFFF"/>
        <w:spacing w:line="360" w:lineRule="auto"/>
        <w:jc w:val="left"/>
        <w:rPr>
          <w:rFonts w:ascii="宋体" w:hAnsi="宋体" w:eastAsia="宋体" w:cs="宋体"/>
          <w:kern w:val="0"/>
          <w:sz w:val="24"/>
          <w:szCs w:val="24"/>
        </w:rPr>
      </w:pPr>
    </w:p>
    <w:p>
      <w:pPr>
        <w:pStyle w:val="3"/>
        <w:sectPr>
          <w:pgSz w:w="11906" w:h="16838"/>
          <w:pgMar w:top="1440" w:right="1800" w:bottom="1440" w:left="1800" w:header="851" w:footer="992" w:gutter="0"/>
          <w:pgNumType w:start="1"/>
          <w:cols w:space="425" w:num="1"/>
          <w:docGrid w:type="lines" w:linePitch="312" w:charSpace="0"/>
        </w:sectPr>
      </w:pPr>
      <w:bookmarkStart w:id="5" w:name="_Toc14354"/>
    </w:p>
    <w:p>
      <w:pPr>
        <w:pStyle w:val="3"/>
      </w:pPr>
      <w:r>
        <w:t>三、商务条件（以下内容不允许负偏离）</w:t>
      </w:r>
      <w:bookmarkEnd w:id="5"/>
    </w:p>
    <w:p>
      <w:pPr>
        <w:tabs>
          <w:tab w:val="left" w:pos="0"/>
        </w:tabs>
        <w:spacing w:line="400" w:lineRule="exact"/>
        <w:ind w:right="-85"/>
        <w:jc w:val="left"/>
        <w:outlineLvl w:val="1"/>
        <w:rPr>
          <w:rStyle w:val="18"/>
          <w:rFonts w:hint="eastAsia" w:ascii="宋体" w:hAnsi="宋体" w:eastAsia="宋体" w:cs="宋体"/>
          <w:b/>
          <w:color w:val="393939"/>
          <w:sz w:val="24"/>
          <w:szCs w:val="24"/>
          <w:shd w:val="clear" w:color="auto" w:fill="FFFFFF"/>
        </w:rPr>
      </w:pPr>
      <w:r>
        <w:rPr>
          <w:rStyle w:val="18"/>
          <w:rFonts w:hint="eastAsia" w:ascii="宋体" w:hAnsi="宋体" w:eastAsia="宋体" w:cs="宋体"/>
          <w:b/>
          <w:color w:val="393939"/>
          <w:sz w:val="24"/>
          <w:szCs w:val="24"/>
          <w:shd w:val="clear" w:color="auto" w:fill="FFFFFF"/>
        </w:rPr>
        <w:t>包：1</w:t>
      </w:r>
    </w:p>
    <w:p>
      <w:pPr>
        <w:tabs>
          <w:tab w:val="left" w:pos="525"/>
          <w:tab w:val="left" w:pos="840"/>
        </w:tabs>
        <w:spacing w:line="400" w:lineRule="exact"/>
        <w:outlineLvl w:val="2"/>
        <w:rPr>
          <w:rFonts w:hint="eastAsia" w:ascii="仿宋_GB2312" w:eastAsia="仿宋_GB2312"/>
          <w:szCs w:val="21"/>
        </w:rPr>
      </w:pPr>
      <w:r>
        <w:rPr>
          <w:rFonts w:hint="eastAsia" w:ascii="宋体" w:hAnsi="宋体" w:eastAsia="宋体"/>
          <w:b/>
          <w:bCs/>
          <w:kern w:val="44"/>
          <w:sz w:val="24"/>
          <w:lang w:eastAsia="zh-CN"/>
        </w:rPr>
        <w:t>一</w:t>
      </w:r>
      <w:r>
        <w:rPr>
          <w:rFonts w:hint="eastAsia" w:ascii="宋体" w:hAnsi="宋体"/>
          <w:b/>
          <w:bCs/>
          <w:kern w:val="44"/>
          <w:sz w:val="24"/>
        </w:rPr>
        <w:t>、</w:t>
      </w:r>
      <w:bookmarkStart w:id="6" w:name="_Toc5297"/>
      <w:bookmarkStart w:id="7" w:name="_Toc26"/>
      <w:bookmarkStart w:id="8" w:name="_Toc360698598"/>
      <w:bookmarkStart w:id="9" w:name="_Toc32650"/>
      <w:r>
        <w:rPr>
          <w:rFonts w:hint="eastAsia" w:ascii="宋体" w:hAnsi="宋体"/>
          <w:b/>
          <w:bCs/>
          <w:kern w:val="44"/>
          <w:sz w:val="24"/>
        </w:rPr>
        <w:t>项目设计和建设要求</w:t>
      </w:r>
    </w:p>
    <w:bookmarkEnd w:id="6"/>
    <w:bookmarkEnd w:id="7"/>
    <w:bookmarkEnd w:id="8"/>
    <w:bookmarkEnd w:id="9"/>
    <w:p>
      <w:pPr>
        <w:pStyle w:val="222"/>
        <w:spacing w:line="400" w:lineRule="exact"/>
        <w:ind w:firstLine="484" w:firstLineChars="202"/>
        <w:rPr>
          <w:rFonts w:hint="eastAsia" w:hAnsi="宋体"/>
          <w:color w:val="auto"/>
          <w:kern w:val="2"/>
        </w:rPr>
      </w:pPr>
      <w:bookmarkStart w:id="10" w:name="_Toc24285"/>
      <w:r>
        <w:rPr>
          <w:rFonts w:hint="eastAsia" w:hAnsi="宋体"/>
          <w:color w:val="auto"/>
          <w:kern w:val="2"/>
        </w:rPr>
        <w:t>本项目招标范围包括设备的设计、供应、运输、安装、调试、试运行、验收。提供所需要的硬件设备及软件，并完成功能集成的任务。投标方应根据每个地点的实际情况进行现场勘察，设计合理的技术方案和施工计划，应包括电源、信号过路地下管道埋设或线路架空施工、道路路面开挖及按原样恢复、杆件及基础、线材连接、设备安装调试，并且采用整根线缆连接，线缆中间不允许有断点接头。施工过程中不得损坏路面设施，否则由投标方承担责任。</w:t>
      </w:r>
      <w:bookmarkEnd w:id="10"/>
    </w:p>
    <w:p>
      <w:pPr>
        <w:widowControl/>
        <w:spacing w:line="400" w:lineRule="exact"/>
        <w:jc w:val="left"/>
        <w:outlineLvl w:val="1"/>
        <w:rPr>
          <w:rFonts w:hint="eastAsia" w:ascii="宋体" w:hAnsi="宋体"/>
          <w:b/>
          <w:bCs/>
          <w:kern w:val="44"/>
          <w:sz w:val="24"/>
        </w:rPr>
      </w:pPr>
    </w:p>
    <w:p>
      <w:pPr>
        <w:widowControl/>
        <w:spacing w:line="400" w:lineRule="exact"/>
        <w:jc w:val="left"/>
        <w:outlineLvl w:val="1"/>
        <w:rPr>
          <w:rFonts w:hint="eastAsia" w:ascii="宋体" w:hAnsi="宋体"/>
          <w:b/>
          <w:bCs/>
          <w:kern w:val="44"/>
          <w:sz w:val="24"/>
        </w:rPr>
      </w:pPr>
      <w:r>
        <w:rPr>
          <w:rFonts w:hint="eastAsia" w:ascii="宋体" w:hAnsi="宋体"/>
          <w:b/>
          <w:bCs/>
          <w:kern w:val="44"/>
          <w:sz w:val="24"/>
          <w:lang w:eastAsia="zh-CN"/>
        </w:rPr>
        <w:t>二</w:t>
      </w:r>
      <w:r>
        <w:rPr>
          <w:rFonts w:hint="eastAsia" w:ascii="宋体" w:hAnsi="宋体"/>
          <w:b/>
          <w:bCs/>
          <w:kern w:val="44"/>
          <w:sz w:val="24"/>
        </w:rPr>
        <w:t>、安装和调试</w:t>
      </w:r>
    </w:p>
    <w:p>
      <w:pPr>
        <w:pStyle w:val="7"/>
        <w:tabs>
          <w:tab w:val="left" w:pos="284"/>
        </w:tabs>
        <w:spacing w:line="400" w:lineRule="exact"/>
        <w:ind w:firstLine="480" w:firstLineChars="200"/>
        <w:rPr>
          <w:rFonts w:hAnsi="宋体"/>
          <w:bCs/>
          <w:sz w:val="24"/>
        </w:rPr>
      </w:pPr>
      <w:r>
        <w:rPr>
          <w:rFonts w:hint="eastAsia" w:hAnsi="宋体"/>
          <w:bCs/>
          <w:sz w:val="24"/>
        </w:rPr>
        <w:t>项目完成交付使用后，由中标供货方负责设备安装调试及技术指导：</w:t>
      </w:r>
    </w:p>
    <w:p>
      <w:pPr>
        <w:pStyle w:val="7"/>
        <w:spacing w:line="400" w:lineRule="exact"/>
        <w:ind w:firstLine="480" w:firstLineChars="200"/>
        <w:rPr>
          <w:rFonts w:hAnsi="宋体"/>
          <w:bCs/>
          <w:sz w:val="24"/>
        </w:rPr>
      </w:pPr>
      <w:r>
        <w:rPr>
          <w:rFonts w:hint="eastAsia" w:hAnsi="宋体"/>
          <w:bCs/>
          <w:sz w:val="24"/>
        </w:rPr>
        <w:t>1、由中标人负责派技术人员到现场进行安装、调试，并负责调试至验收合格,期间产生的所有费用由中标人承担。</w:t>
      </w:r>
    </w:p>
    <w:p>
      <w:pPr>
        <w:widowControl/>
        <w:spacing w:line="400" w:lineRule="exact"/>
        <w:ind w:firstLine="480" w:firstLineChars="200"/>
        <w:jc w:val="left"/>
        <w:rPr>
          <w:rFonts w:hint="eastAsia" w:ascii="宋体" w:hAnsi="宋体"/>
          <w:sz w:val="24"/>
        </w:rPr>
      </w:pPr>
      <w:r>
        <w:rPr>
          <w:rFonts w:hint="eastAsia" w:ascii="宋体" w:hAnsi="宋体"/>
          <w:sz w:val="24"/>
        </w:rPr>
        <w:t>2、中标方应在到现场施工一周前，向采购方提供安装进度计划表及需采购方配合的事项。</w:t>
      </w:r>
    </w:p>
    <w:p>
      <w:pPr>
        <w:widowControl/>
        <w:spacing w:line="400" w:lineRule="exact"/>
        <w:ind w:firstLine="480" w:firstLineChars="200"/>
        <w:jc w:val="left"/>
        <w:rPr>
          <w:rFonts w:hint="eastAsia" w:ascii="宋体" w:hAnsi="宋体"/>
          <w:sz w:val="24"/>
        </w:rPr>
      </w:pPr>
      <w:r>
        <w:rPr>
          <w:rFonts w:hint="eastAsia" w:ascii="宋体" w:hAnsi="宋体"/>
          <w:sz w:val="24"/>
        </w:rPr>
        <w:t>3、安装施工过程中，应事先通知采购方，经同意后再进行安装。</w:t>
      </w:r>
    </w:p>
    <w:p>
      <w:pPr>
        <w:widowControl/>
        <w:spacing w:line="400" w:lineRule="exact"/>
        <w:ind w:firstLine="480" w:firstLineChars="200"/>
        <w:jc w:val="left"/>
        <w:rPr>
          <w:rFonts w:hint="eastAsia" w:ascii="宋体" w:hAnsi="宋体"/>
          <w:sz w:val="24"/>
        </w:rPr>
      </w:pPr>
      <w:r>
        <w:rPr>
          <w:rFonts w:hint="eastAsia" w:ascii="宋体" w:hAnsi="宋体"/>
          <w:sz w:val="24"/>
        </w:rPr>
        <w:t>4、中标方在制作、运输、安装、布线及调试过程中，应严格按照国家有关的操作规程和施工规范进行作业，确保安装牢固，安全可靠。</w:t>
      </w:r>
    </w:p>
    <w:p>
      <w:pPr>
        <w:widowControl/>
        <w:spacing w:line="400" w:lineRule="exact"/>
        <w:ind w:firstLine="480" w:firstLineChars="200"/>
        <w:jc w:val="left"/>
        <w:rPr>
          <w:rFonts w:hint="eastAsia" w:ascii="宋体" w:hAnsi="宋体"/>
          <w:sz w:val="24"/>
        </w:rPr>
      </w:pPr>
      <w:r>
        <w:rPr>
          <w:rFonts w:hint="eastAsia" w:ascii="宋体" w:hAnsi="宋体"/>
          <w:sz w:val="24"/>
        </w:rPr>
        <w:t>5、中标人应制定详细的施工计划，并将施工进度安排计划报采购人备案，确保项目按时完成。采购人将不定期根据进度计划对项目实施进度进行抽查；</w:t>
      </w:r>
    </w:p>
    <w:p>
      <w:pPr>
        <w:widowControl/>
        <w:spacing w:line="400" w:lineRule="exact"/>
        <w:ind w:firstLine="480" w:firstLineChars="200"/>
        <w:jc w:val="left"/>
        <w:rPr>
          <w:rFonts w:hint="eastAsia" w:ascii="宋体" w:hAnsi="宋体"/>
          <w:sz w:val="24"/>
        </w:rPr>
      </w:pPr>
      <w:r>
        <w:rPr>
          <w:rFonts w:hint="eastAsia" w:ascii="宋体" w:hAnsi="宋体"/>
          <w:sz w:val="24"/>
        </w:rPr>
        <w:t>6、中标方在制作运输安装过程中，应加强作业现场管理，保持整洁有序，不得破坏环境，否则由中标方负全责。</w:t>
      </w:r>
    </w:p>
    <w:p>
      <w:pPr>
        <w:widowControl/>
        <w:spacing w:line="400" w:lineRule="exact"/>
        <w:ind w:firstLine="480" w:firstLineChars="200"/>
        <w:jc w:val="left"/>
        <w:rPr>
          <w:rFonts w:hint="eastAsia" w:ascii="宋体" w:hAnsi="宋体"/>
          <w:sz w:val="24"/>
        </w:rPr>
      </w:pPr>
      <w:r>
        <w:rPr>
          <w:rFonts w:hint="eastAsia" w:ascii="宋体" w:hAnsi="宋体"/>
          <w:sz w:val="24"/>
        </w:rPr>
        <w:t>7、施工过程中的隐蔽工程部分，包括管道敷设、杆件基础等都应在施工时进行拍照存档，项目竣工后作为验收资料交付采购人。</w:t>
      </w:r>
    </w:p>
    <w:p>
      <w:pPr>
        <w:widowControl/>
        <w:spacing w:line="400" w:lineRule="exact"/>
        <w:ind w:firstLine="480" w:firstLineChars="200"/>
        <w:jc w:val="left"/>
        <w:rPr>
          <w:rFonts w:hint="eastAsia" w:ascii="宋体" w:hAnsi="宋体"/>
          <w:sz w:val="24"/>
        </w:rPr>
      </w:pPr>
      <w:r>
        <w:rPr>
          <w:rFonts w:hint="eastAsia" w:ascii="宋体" w:hAnsi="宋体"/>
          <w:sz w:val="24"/>
        </w:rPr>
        <w:t>8、中标方必须加强制作、运输及安装施工过程中的安全防护，在此过程中，如因中标方原因导致的双方及第三方的任何人身、设备安全事故及财产损失均由中标人和施工方承担相应责任。若发生死亡安全事故，除按国家有关安全管理规定及采购人有关安全管理办法执行外，并报相关行政主管部门处罚；发生重大安全事故或特大安全事故，除按国家有关安全管理规定及采购人有关安全管理办法执行外，采购人保留更换中标供应商，给采购人造成的损失，还应承担赔偿责任。</w:t>
      </w:r>
    </w:p>
    <w:p>
      <w:pPr>
        <w:widowControl/>
        <w:spacing w:line="400" w:lineRule="exact"/>
        <w:ind w:firstLine="600" w:firstLineChars="250"/>
        <w:jc w:val="left"/>
        <w:rPr>
          <w:rFonts w:hint="eastAsia" w:ascii="宋体" w:hAnsi="宋体"/>
          <w:sz w:val="24"/>
        </w:rPr>
      </w:pPr>
      <w:r>
        <w:rPr>
          <w:rFonts w:hint="eastAsia" w:ascii="宋体" w:hAnsi="宋体"/>
          <w:sz w:val="24"/>
        </w:rPr>
        <w:t>9、若安装调试过程对原建筑或原成品产生破坏，中标供应商要负责修补复原。</w:t>
      </w:r>
    </w:p>
    <w:p>
      <w:pPr>
        <w:widowControl/>
        <w:spacing w:line="400" w:lineRule="exact"/>
        <w:jc w:val="left"/>
        <w:outlineLvl w:val="1"/>
        <w:rPr>
          <w:rFonts w:hint="eastAsia" w:ascii="宋体" w:hAnsi="宋体"/>
          <w:b/>
          <w:bCs/>
          <w:kern w:val="44"/>
          <w:sz w:val="24"/>
        </w:rPr>
      </w:pPr>
      <w:bookmarkStart w:id="11" w:name="_Toc392679543"/>
      <w:r>
        <w:rPr>
          <w:rFonts w:hint="eastAsia" w:ascii="宋体" w:hAnsi="宋体"/>
          <w:b/>
          <w:bCs/>
          <w:kern w:val="44"/>
          <w:sz w:val="24"/>
          <w:lang w:eastAsia="zh-CN"/>
        </w:rPr>
        <w:t>三</w:t>
      </w:r>
      <w:r>
        <w:rPr>
          <w:rFonts w:hint="eastAsia" w:ascii="宋体" w:hAnsi="宋体"/>
          <w:b/>
          <w:bCs/>
          <w:kern w:val="44"/>
          <w:sz w:val="24"/>
        </w:rPr>
        <w:t>、验收</w:t>
      </w:r>
      <w:bookmarkEnd w:id="11"/>
    </w:p>
    <w:p>
      <w:pPr>
        <w:spacing w:line="400" w:lineRule="exact"/>
        <w:rPr>
          <w:rFonts w:hint="eastAsia" w:ascii="宋体" w:hAnsi="宋体"/>
          <w:sz w:val="24"/>
        </w:rPr>
      </w:pPr>
      <w:r>
        <w:rPr>
          <w:rFonts w:hint="eastAsia" w:ascii="宋体" w:hAnsi="宋体"/>
          <w:sz w:val="24"/>
        </w:rPr>
        <w:t>1、验收标准</w:t>
      </w:r>
    </w:p>
    <w:p>
      <w:pPr>
        <w:spacing w:line="400" w:lineRule="exact"/>
        <w:ind w:firstLine="480" w:firstLineChars="200"/>
        <w:rPr>
          <w:rFonts w:hint="eastAsia" w:ascii="宋体" w:hAnsi="宋体" w:eastAsia="宋体"/>
          <w:sz w:val="24"/>
          <w:lang w:val="en-US" w:eastAsia="zh-CN"/>
        </w:rPr>
      </w:pPr>
      <w:r>
        <w:rPr>
          <w:rFonts w:hint="eastAsia" w:ascii="宋体" w:hAnsi="宋体"/>
          <w:sz w:val="24"/>
        </w:rPr>
        <w:t>系统符合招标文件、部省相关技术规范和国家有关质量标准。设备质量达到设计要求，安装调试各项指标符合技术参数，产品应能通过公安等相关检验部门的检验。</w:t>
      </w:r>
      <w:r>
        <w:rPr>
          <w:rFonts w:hint="eastAsia" w:ascii="宋体" w:hAnsi="宋体"/>
          <w:sz w:val="24"/>
          <w:lang w:eastAsia="zh-CN"/>
        </w:rPr>
        <w:t>所有监控设备接入视频共享平台，违章数据达到交警需求。</w:t>
      </w:r>
      <w:r>
        <w:rPr>
          <w:rFonts w:hint="eastAsia" w:ascii="宋体" w:hAnsi="宋体"/>
          <w:sz w:val="24"/>
          <w:lang w:val="en-US" w:eastAsia="zh-CN"/>
        </w:rPr>
        <w:t>jx</w:t>
      </w:r>
    </w:p>
    <w:p>
      <w:pPr>
        <w:spacing w:line="400" w:lineRule="exact"/>
        <w:rPr>
          <w:rFonts w:hint="eastAsia" w:ascii="宋体" w:hAnsi="宋体"/>
          <w:sz w:val="24"/>
        </w:rPr>
      </w:pPr>
      <w:bookmarkStart w:id="12" w:name="_Toc388866295"/>
      <w:r>
        <w:rPr>
          <w:rFonts w:hint="eastAsia" w:ascii="宋体" w:hAnsi="宋体"/>
          <w:sz w:val="24"/>
        </w:rPr>
        <w:t>2、验收程序</w:t>
      </w:r>
      <w:bookmarkEnd w:id="12"/>
    </w:p>
    <w:p>
      <w:pPr>
        <w:widowControl/>
        <w:spacing w:line="400" w:lineRule="exact"/>
        <w:ind w:firstLine="480" w:firstLineChars="200"/>
        <w:jc w:val="left"/>
        <w:outlineLvl w:val="1"/>
        <w:rPr>
          <w:rFonts w:hint="eastAsia" w:ascii="宋体" w:hAnsi="宋体"/>
          <w:sz w:val="24"/>
        </w:rPr>
      </w:pPr>
      <w:bookmarkStart w:id="13" w:name="_Toc392679544"/>
      <w:r>
        <w:rPr>
          <w:rFonts w:hint="eastAsia" w:ascii="宋体" w:hAnsi="宋体"/>
          <w:sz w:val="24"/>
        </w:rPr>
        <w:t>在本项目系统建设工程全部完成并具备试运行条件后进行验收，由中标人向采购人提出验收申请，采购人根据合同约定和国家的相关标准对项目进行验收，并提出整改意见，如果无整改意见或中标方按整改意见完成整改后双方签署《验收合格报告》。</w:t>
      </w:r>
    </w:p>
    <w:p>
      <w:pPr>
        <w:widowControl/>
        <w:spacing w:line="400" w:lineRule="exact"/>
        <w:jc w:val="left"/>
        <w:outlineLvl w:val="1"/>
        <w:rPr>
          <w:rFonts w:hint="eastAsia" w:ascii="宋体" w:hAnsi="宋体"/>
          <w:b/>
          <w:bCs/>
          <w:kern w:val="44"/>
          <w:sz w:val="24"/>
        </w:rPr>
      </w:pPr>
      <w:r>
        <w:rPr>
          <w:rFonts w:hint="eastAsia" w:ascii="宋体" w:hAnsi="宋体"/>
          <w:b/>
          <w:bCs/>
          <w:kern w:val="44"/>
          <w:sz w:val="24"/>
          <w:lang w:eastAsia="zh-CN"/>
        </w:rPr>
        <w:t>四</w:t>
      </w:r>
      <w:r>
        <w:rPr>
          <w:rFonts w:hint="eastAsia" w:ascii="宋体" w:hAnsi="宋体"/>
          <w:b/>
          <w:bCs/>
          <w:kern w:val="44"/>
          <w:sz w:val="24"/>
        </w:rPr>
        <w:t>、保修期及售后服务</w:t>
      </w:r>
      <w:bookmarkEnd w:id="13"/>
    </w:p>
    <w:p>
      <w:pPr>
        <w:widowControl/>
        <w:spacing w:line="400" w:lineRule="exact"/>
        <w:ind w:firstLine="588" w:firstLineChars="245"/>
        <w:jc w:val="left"/>
        <w:rPr>
          <w:rFonts w:hint="eastAsia" w:ascii="宋体" w:hAnsi="宋体"/>
          <w:sz w:val="24"/>
        </w:rPr>
      </w:pPr>
      <w:r>
        <w:rPr>
          <w:rFonts w:hint="eastAsia" w:ascii="宋体" w:hAnsi="宋体"/>
          <w:sz w:val="24"/>
        </w:rPr>
        <w:t>投标人必须为本系统提供完整的售后服务方案作为投标文件的组成部分，应体现定期进行检查、调校、清洁等维护措施，按照本采购项目特点提供长期良好的售后服务。</w:t>
      </w:r>
    </w:p>
    <w:p>
      <w:pPr>
        <w:widowControl/>
        <w:spacing w:line="400" w:lineRule="exact"/>
        <w:ind w:firstLine="480" w:firstLineChars="200"/>
        <w:jc w:val="left"/>
        <w:rPr>
          <w:rFonts w:hint="eastAsia" w:ascii="宋体" w:hAnsi="宋体"/>
          <w:sz w:val="24"/>
        </w:rPr>
      </w:pPr>
      <w:r>
        <w:rPr>
          <w:rFonts w:hint="eastAsia" w:ascii="宋体" w:hAnsi="宋体"/>
          <w:sz w:val="24"/>
          <w:lang w:val="en-US" w:eastAsia="zh-CN"/>
        </w:rPr>
        <w:t>1</w:t>
      </w:r>
      <w:r>
        <w:rPr>
          <w:rFonts w:hint="eastAsia" w:ascii="宋体" w:hAnsi="宋体"/>
          <w:sz w:val="24"/>
        </w:rPr>
        <w:t>、在保修期内由于产品本身质量或施工质量原因造成的任何损伤和损坏，投标人须免费负责修理或更换；</w:t>
      </w:r>
    </w:p>
    <w:p>
      <w:pPr>
        <w:spacing w:line="400" w:lineRule="exact"/>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中标人应提供定期巡检服务，针对系统和前端摄像机制定详细的巡检方案，巡检内容应包括：前端设备运行情况、监控平台设备和功能情况、专网运行情况以及前端杆件和管线情况等，每次巡检均应提供巡检报告；</w:t>
      </w:r>
    </w:p>
    <w:p>
      <w:pPr>
        <w:widowControl/>
        <w:spacing w:line="400" w:lineRule="exact"/>
        <w:ind w:firstLine="360" w:firstLineChars="150"/>
        <w:jc w:val="left"/>
        <w:rPr>
          <w:rFonts w:hint="eastAsia" w:ascii="宋体" w:hAnsi="宋体"/>
          <w:sz w:val="24"/>
        </w:rPr>
      </w:pPr>
      <w:r>
        <w:rPr>
          <w:rFonts w:hint="eastAsia" w:ascii="宋体" w:hAnsi="宋体"/>
          <w:sz w:val="24"/>
          <w:lang w:val="en-US" w:eastAsia="zh-CN"/>
        </w:rPr>
        <w:t>3</w:t>
      </w:r>
      <w:r>
        <w:rPr>
          <w:rFonts w:hint="eastAsia" w:ascii="宋体" w:hAnsi="宋体"/>
          <w:sz w:val="24"/>
        </w:rPr>
        <w:t>、中标人应设立7*24小时热线服务电话，受理采购人系统故障申告、技术咨询。中标人在收到采购人系统故障申告后，必须按要求及时解决。1小时内响应，2小时内到现场，4小时内解决故障。对于设备损坏，不能当场修复的，必须提供备品、备件或备机等供采购人使用</w:t>
      </w:r>
      <w:r>
        <w:rPr>
          <w:rFonts w:hint="eastAsia" w:ascii="宋体" w:hAnsi="宋体"/>
          <w:sz w:val="24"/>
          <w:lang w:eastAsia="zh-CN"/>
        </w:rPr>
        <w:t>；</w:t>
      </w:r>
      <w:r>
        <w:rPr>
          <w:rFonts w:hint="eastAsia" w:ascii="宋体" w:hAnsi="宋体"/>
          <w:sz w:val="24"/>
          <w:lang w:val="en-US" w:eastAsia="zh-CN"/>
        </w:rPr>
        <w:t xml:space="preserve"> </w:t>
      </w:r>
    </w:p>
    <w:p>
      <w:pPr>
        <w:widowControl/>
        <w:spacing w:line="400" w:lineRule="exact"/>
        <w:jc w:val="left"/>
        <w:outlineLvl w:val="1"/>
        <w:rPr>
          <w:rFonts w:hint="eastAsia" w:ascii="宋体" w:hAnsi="宋体"/>
          <w:b/>
          <w:bCs/>
          <w:kern w:val="44"/>
          <w:sz w:val="24"/>
        </w:rPr>
      </w:pPr>
      <w:bookmarkStart w:id="14" w:name="_Toc392679548"/>
      <w:r>
        <w:rPr>
          <w:rFonts w:hint="eastAsia" w:ascii="宋体" w:hAnsi="宋体"/>
          <w:b/>
          <w:bCs/>
          <w:kern w:val="44"/>
          <w:sz w:val="24"/>
          <w:lang w:eastAsia="zh-CN"/>
        </w:rPr>
        <w:t>五</w:t>
      </w:r>
      <w:r>
        <w:rPr>
          <w:rFonts w:hint="eastAsia" w:ascii="宋体" w:hAnsi="宋体"/>
          <w:b/>
          <w:bCs/>
          <w:kern w:val="44"/>
          <w:sz w:val="24"/>
        </w:rPr>
        <w:t>、交货方式</w:t>
      </w:r>
      <w:bookmarkEnd w:id="14"/>
    </w:p>
    <w:p>
      <w:pPr>
        <w:widowControl/>
        <w:spacing w:line="400" w:lineRule="exact"/>
        <w:ind w:firstLine="480" w:firstLineChars="200"/>
        <w:jc w:val="left"/>
        <w:rPr>
          <w:rFonts w:hint="eastAsia" w:ascii="宋体" w:hAnsi="宋体"/>
          <w:sz w:val="24"/>
        </w:rPr>
      </w:pPr>
      <w:r>
        <w:rPr>
          <w:rFonts w:hint="eastAsia" w:ascii="宋体" w:hAnsi="宋体"/>
          <w:sz w:val="24"/>
        </w:rPr>
        <w:t>1、项目完成并交付使用时间：合同签订后的</w:t>
      </w:r>
      <w:r>
        <w:rPr>
          <w:rFonts w:hint="eastAsia" w:ascii="宋体" w:hAnsi="宋体"/>
          <w:sz w:val="24"/>
          <w:lang w:val="en-US" w:eastAsia="zh-CN"/>
        </w:rPr>
        <w:t>20个</w:t>
      </w:r>
      <w:r>
        <w:rPr>
          <w:rFonts w:hint="eastAsia" w:ascii="宋体" w:hAnsi="宋体"/>
          <w:sz w:val="24"/>
        </w:rPr>
        <w:t>日历日内</w:t>
      </w:r>
    </w:p>
    <w:p>
      <w:pPr>
        <w:widowControl/>
        <w:spacing w:line="400" w:lineRule="exact"/>
        <w:ind w:firstLine="480" w:firstLineChars="200"/>
        <w:jc w:val="left"/>
        <w:rPr>
          <w:rFonts w:hint="eastAsia" w:ascii="宋体" w:hAnsi="宋体"/>
          <w:sz w:val="24"/>
        </w:rPr>
      </w:pPr>
      <w:r>
        <w:rPr>
          <w:rFonts w:hint="eastAsia" w:ascii="宋体" w:hAnsi="宋体"/>
          <w:sz w:val="24"/>
        </w:rPr>
        <w:t>2、验收地点：采购人指定地点</w:t>
      </w:r>
    </w:p>
    <w:p>
      <w:pPr>
        <w:widowControl/>
        <w:spacing w:line="400" w:lineRule="exact"/>
        <w:ind w:firstLine="480" w:firstLineChars="200"/>
        <w:jc w:val="left"/>
        <w:rPr>
          <w:rFonts w:hint="eastAsia" w:ascii="宋体" w:hAnsi="宋体"/>
          <w:sz w:val="24"/>
        </w:rPr>
      </w:pPr>
      <w:r>
        <w:rPr>
          <w:rFonts w:hint="eastAsia" w:ascii="宋体" w:hAnsi="宋体"/>
          <w:sz w:val="24"/>
        </w:rPr>
        <w:t>3、项目验收：产品安装调试结束并经正常使用</w:t>
      </w:r>
      <w:r>
        <w:rPr>
          <w:rFonts w:hint="eastAsia" w:ascii="宋体" w:hAnsi="宋体"/>
          <w:sz w:val="24"/>
          <w:lang w:val="en-US" w:eastAsia="zh-CN"/>
        </w:rPr>
        <w:t>10个日历日后</w:t>
      </w:r>
      <w:r>
        <w:rPr>
          <w:rFonts w:hint="eastAsia" w:ascii="宋体" w:hAnsi="宋体"/>
          <w:sz w:val="24"/>
        </w:rPr>
        <w:t>，</w:t>
      </w:r>
      <w:r>
        <w:rPr>
          <w:rFonts w:hint="eastAsia" w:ascii="宋体" w:hAnsi="宋体"/>
          <w:sz w:val="24"/>
          <w:lang w:eastAsia="zh-CN"/>
        </w:rPr>
        <w:t>联入视频网且不卡顿</w:t>
      </w:r>
      <w:r>
        <w:rPr>
          <w:rFonts w:hint="eastAsia" w:ascii="宋体" w:hAnsi="宋体"/>
          <w:sz w:val="24"/>
        </w:rPr>
        <w:t>即为完成验收。</w:t>
      </w:r>
    </w:p>
    <w:p>
      <w:pPr>
        <w:widowControl/>
        <w:spacing w:line="400" w:lineRule="exact"/>
        <w:ind w:firstLine="480" w:firstLineChars="200"/>
        <w:jc w:val="left"/>
        <w:rPr>
          <w:rFonts w:hint="eastAsia" w:ascii="宋体" w:hAnsi="宋体"/>
          <w:sz w:val="24"/>
        </w:rPr>
      </w:pPr>
      <w:r>
        <w:rPr>
          <w:rFonts w:hint="eastAsia" w:ascii="宋体" w:hAnsi="宋体"/>
          <w:sz w:val="24"/>
        </w:rPr>
        <w:t>4、验收前所有各项费用均由中标方承担。</w:t>
      </w:r>
    </w:p>
    <w:p>
      <w:pPr>
        <w:widowControl/>
        <w:spacing w:line="400" w:lineRule="exact"/>
        <w:ind w:firstLine="480" w:firstLineChars="200"/>
        <w:jc w:val="left"/>
        <w:rPr>
          <w:rFonts w:hint="eastAsia" w:ascii="宋体" w:hAnsi="宋体"/>
          <w:sz w:val="24"/>
        </w:rPr>
      </w:pPr>
      <w:r>
        <w:rPr>
          <w:rFonts w:hint="eastAsia" w:ascii="宋体" w:hAnsi="宋体"/>
          <w:sz w:val="24"/>
          <w:lang w:val="en-US" w:eastAsia="zh-CN"/>
        </w:rPr>
        <w:t>5</w:t>
      </w:r>
      <w:r>
        <w:rPr>
          <w:rFonts w:hint="eastAsia" w:ascii="宋体" w:hAnsi="宋体"/>
          <w:sz w:val="24"/>
        </w:rPr>
        <w:t>、货物及安装要求</w:t>
      </w:r>
    </w:p>
    <w:p>
      <w:pPr>
        <w:widowControl/>
        <w:spacing w:line="400" w:lineRule="exact"/>
        <w:ind w:firstLine="480" w:firstLineChars="200"/>
        <w:jc w:val="left"/>
        <w:rPr>
          <w:rFonts w:hint="eastAsia" w:ascii="宋体" w:hAnsi="宋体"/>
          <w:sz w:val="24"/>
        </w:rPr>
      </w:pPr>
      <w:r>
        <w:rPr>
          <w:rFonts w:hint="eastAsia" w:ascii="宋体" w:hAnsi="宋体"/>
          <w:sz w:val="24"/>
        </w:rPr>
        <w:t>由中标供应商负责派专业技术人员到现场进行</w:t>
      </w:r>
      <w:r>
        <w:rPr>
          <w:rFonts w:hint="eastAsia" w:ascii="宋体" w:hAnsi="宋体"/>
          <w:sz w:val="24"/>
          <w:lang w:eastAsia="zh-CN"/>
        </w:rPr>
        <w:t>供货、</w:t>
      </w:r>
      <w:r>
        <w:rPr>
          <w:rFonts w:hint="eastAsia" w:ascii="宋体" w:hAnsi="宋体"/>
          <w:sz w:val="24"/>
        </w:rPr>
        <w:t>安装、调试，并负责调试至验收合格，由采购方进行基本质量和数量检验合格即为现场交货。 </w:t>
      </w:r>
    </w:p>
    <w:p>
      <w:pPr>
        <w:widowControl/>
        <w:spacing w:line="400" w:lineRule="exact"/>
        <w:ind w:firstLine="480" w:firstLineChars="200"/>
        <w:jc w:val="left"/>
        <w:rPr>
          <w:rFonts w:hint="eastAsia" w:ascii="宋体" w:hAnsi="宋体"/>
          <w:sz w:val="24"/>
          <w:lang w:val="en-US" w:eastAsia="zh-CN"/>
        </w:rPr>
      </w:pPr>
      <w:r>
        <w:rPr>
          <w:rFonts w:hint="eastAsia" w:ascii="宋体" w:hAnsi="宋体"/>
          <w:sz w:val="24"/>
          <w:lang w:val="en-US" w:eastAsia="zh-CN"/>
        </w:rPr>
        <w:t>6、售后服务：保修期为三年，质保期需供需双方代表在验收单上签字之日起计算</w:t>
      </w:r>
    </w:p>
    <w:p>
      <w:pPr>
        <w:spacing w:line="400" w:lineRule="exact"/>
        <w:outlineLvl w:val="1"/>
        <w:rPr>
          <w:rFonts w:hint="eastAsia" w:eastAsia="宋体"/>
          <w:lang w:val="en-US" w:eastAsia="zh-CN"/>
        </w:rPr>
      </w:pPr>
    </w:p>
    <w:p>
      <w:pPr>
        <w:widowControl/>
        <w:spacing w:line="400" w:lineRule="exact"/>
        <w:ind w:firstLine="480" w:firstLineChars="200"/>
        <w:jc w:val="left"/>
        <w:rPr>
          <w:rFonts w:hint="eastAsia" w:ascii="宋体" w:hAnsi="宋体"/>
          <w:sz w:val="24"/>
        </w:rPr>
      </w:pPr>
    </w:p>
    <w:p>
      <w:pPr>
        <w:widowControl/>
        <w:spacing w:line="400" w:lineRule="exact"/>
        <w:jc w:val="left"/>
        <w:outlineLvl w:val="1"/>
        <w:rPr>
          <w:rFonts w:hint="eastAsia" w:ascii="宋体" w:hAnsi="宋体"/>
          <w:b/>
          <w:bCs/>
          <w:kern w:val="44"/>
          <w:sz w:val="24"/>
        </w:rPr>
      </w:pPr>
      <w:bookmarkStart w:id="15" w:name="_Toc392679549"/>
      <w:r>
        <w:rPr>
          <w:rFonts w:hint="eastAsia" w:ascii="宋体" w:hAnsi="宋体"/>
          <w:b/>
          <w:bCs/>
          <w:kern w:val="44"/>
          <w:sz w:val="24"/>
          <w:lang w:eastAsia="zh-CN"/>
        </w:rPr>
        <w:t>六</w:t>
      </w:r>
      <w:r>
        <w:rPr>
          <w:rFonts w:hint="eastAsia" w:ascii="宋体" w:hAnsi="宋体"/>
          <w:b/>
          <w:bCs/>
          <w:kern w:val="44"/>
          <w:sz w:val="24"/>
        </w:rPr>
        <w:t>、付款方式和条件</w:t>
      </w:r>
      <w:bookmarkEnd w:id="15"/>
    </w:p>
    <w:p>
      <w:pPr>
        <w:widowControl/>
        <w:spacing w:line="400" w:lineRule="exact"/>
        <w:ind w:firstLine="480" w:firstLineChars="200"/>
        <w:jc w:val="left"/>
        <w:rPr>
          <w:rFonts w:hint="eastAsia" w:ascii="宋体" w:hAnsi="宋体" w:eastAsia="宋体" w:cs="宋体"/>
          <w:bCs/>
          <w:kern w:val="0"/>
          <w:sz w:val="24"/>
          <w:szCs w:val="24"/>
          <w:lang w:val="en-US" w:eastAsia="zh-CN"/>
        </w:rPr>
      </w:pPr>
      <w:r>
        <w:rPr>
          <w:rFonts w:hint="eastAsia" w:ascii="宋体" w:hAnsi="宋体"/>
          <w:sz w:val="24"/>
        </w:rPr>
        <w:t>1、</w:t>
      </w:r>
      <w:r>
        <w:rPr>
          <w:rFonts w:hint="eastAsia" w:ascii="宋体" w:hAnsi="宋体" w:eastAsia="宋体" w:cs="宋体"/>
          <w:kern w:val="0"/>
          <w:sz w:val="24"/>
          <w:szCs w:val="24"/>
          <w:lang w:val="en-US" w:eastAsia="zh-CN"/>
        </w:rPr>
        <w:t xml:space="preserve"> </w:t>
      </w:r>
      <w:r>
        <w:rPr>
          <w:rFonts w:hint="eastAsia" w:ascii="宋体" w:hAnsi="宋体" w:eastAsia="宋体" w:cs="宋体"/>
          <w:bCs/>
          <w:kern w:val="0"/>
          <w:sz w:val="24"/>
          <w:szCs w:val="24"/>
          <w:lang w:val="en-US" w:eastAsia="zh-CN"/>
        </w:rPr>
        <w:t>合同签订后支付合同总价的50%，验收合格后支付合同总价的45%，</w:t>
      </w:r>
      <w:r>
        <w:rPr>
          <w:rFonts w:ascii="宋体" w:hAnsi="宋体" w:eastAsia="宋体" w:cs="宋体"/>
          <w:kern w:val="0"/>
          <w:sz w:val="24"/>
          <w:szCs w:val="24"/>
          <w:lang w:val="en-US" w:eastAsia="zh-CN" w:bidi="ar"/>
        </w:rPr>
        <w:t>余5%款项做为质保金，</w:t>
      </w:r>
      <w:r>
        <w:rPr>
          <w:rFonts w:hint="eastAsia" w:ascii="宋体" w:hAnsi="宋体" w:eastAsia="宋体" w:cs="宋体"/>
          <w:kern w:val="0"/>
          <w:sz w:val="24"/>
          <w:szCs w:val="24"/>
          <w:lang w:val="en-US" w:eastAsia="zh-CN" w:bidi="ar"/>
        </w:rPr>
        <w:t>三</w:t>
      </w:r>
      <w:r>
        <w:rPr>
          <w:rFonts w:ascii="宋体" w:hAnsi="宋体" w:eastAsia="宋体" w:cs="宋体"/>
          <w:kern w:val="0"/>
          <w:sz w:val="24"/>
          <w:szCs w:val="24"/>
          <w:lang w:val="en-US" w:eastAsia="zh-CN" w:bidi="ar"/>
        </w:rPr>
        <w:t>年后完成合同约定所有内容，无质量与售后问题，七个工作日付清</w:t>
      </w:r>
      <w:r>
        <w:rPr>
          <w:rFonts w:hint="eastAsia" w:ascii="宋体" w:hAnsi="宋体" w:eastAsia="宋体" w:cs="宋体"/>
          <w:bCs/>
          <w:kern w:val="0"/>
          <w:sz w:val="24"/>
          <w:szCs w:val="24"/>
          <w:lang w:val="en-US" w:eastAsia="zh-CN"/>
        </w:rPr>
        <w:t>。</w:t>
      </w:r>
    </w:p>
    <w:p>
      <w:pPr>
        <w:widowControl/>
        <w:spacing w:line="400" w:lineRule="exact"/>
        <w:ind w:firstLine="480" w:firstLineChars="200"/>
        <w:jc w:val="left"/>
        <w:rPr>
          <w:rFonts w:hint="eastAsia" w:ascii="宋体" w:hAnsi="宋体"/>
          <w:sz w:val="24"/>
        </w:rPr>
      </w:pPr>
      <w:r>
        <w:rPr>
          <w:rFonts w:hint="eastAsia" w:ascii="宋体" w:hAnsi="宋体"/>
          <w:sz w:val="24"/>
        </w:rPr>
        <w:t>2、付款前中标人开具合同</w:t>
      </w:r>
      <w:r>
        <w:rPr>
          <w:rFonts w:hint="eastAsia" w:ascii="宋体" w:hAnsi="宋体"/>
          <w:sz w:val="24"/>
          <w:lang w:eastAsia="zh-CN"/>
        </w:rPr>
        <w:t>全</w:t>
      </w:r>
      <w:r>
        <w:rPr>
          <w:rFonts w:hint="eastAsia" w:ascii="宋体" w:hAnsi="宋体"/>
          <w:sz w:val="24"/>
        </w:rPr>
        <w:t>额</w:t>
      </w:r>
      <w:r>
        <w:rPr>
          <w:rFonts w:hint="eastAsia" w:ascii="宋体" w:hAnsi="宋体" w:eastAsia="宋体"/>
          <w:sz w:val="24"/>
          <w:lang w:eastAsia="zh-CN"/>
        </w:rPr>
        <w:t>增值税专用</w:t>
      </w:r>
      <w:r>
        <w:rPr>
          <w:rFonts w:hint="eastAsia" w:ascii="宋体" w:hAnsi="宋体"/>
          <w:sz w:val="24"/>
        </w:rPr>
        <w:t>发票；项目验收时中标方需准备验收清单</w:t>
      </w:r>
      <w:r>
        <w:rPr>
          <w:rFonts w:hint="eastAsia" w:ascii="宋体" w:hAnsi="宋体"/>
          <w:sz w:val="24"/>
          <w:lang w:eastAsia="zh-CN"/>
        </w:rPr>
        <w:t>文本</w:t>
      </w:r>
      <w:r>
        <w:rPr>
          <w:rFonts w:hint="eastAsia" w:ascii="宋体" w:hAnsi="宋体"/>
          <w:sz w:val="24"/>
        </w:rPr>
        <w:t>。</w:t>
      </w:r>
    </w:p>
    <w:p>
      <w:pPr>
        <w:tabs>
          <w:tab w:val="left" w:pos="1050"/>
        </w:tabs>
        <w:spacing w:line="400" w:lineRule="exact"/>
        <w:ind w:firstLine="480" w:firstLineChars="200"/>
        <w:rPr>
          <w:rFonts w:hint="eastAsia" w:ascii="宋体" w:hAnsi="宋体"/>
          <w:sz w:val="24"/>
        </w:rPr>
      </w:pPr>
      <w:r>
        <w:rPr>
          <w:rFonts w:hint="eastAsia" w:ascii="宋体" w:hAnsi="宋体"/>
          <w:sz w:val="24"/>
        </w:rPr>
        <w:t>3、违约：中标供货方在规定时间内不能按时将货物交付采购人使用，每天按合同总额的</w:t>
      </w:r>
      <w:r>
        <w:rPr>
          <w:rFonts w:hint="eastAsia" w:ascii="宋体" w:hAnsi="宋体"/>
          <w:sz w:val="24"/>
          <w:lang w:val="en-US" w:eastAsia="zh-CN"/>
        </w:rPr>
        <w:t>0.5%</w:t>
      </w:r>
      <w:r>
        <w:rPr>
          <w:rFonts w:hint="eastAsia" w:ascii="宋体" w:hAnsi="宋体"/>
          <w:sz w:val="24"/>
        </w:rPr>
        <w:t>支付给采购人逾期违约金；延期超过</w:t>
      </w:r>
      <w:r>
        <w:rPr>
          <w:rFonts w:hint="eastAsia" w:ascii="宋体" w:hAnsi="宋体"/>
          <w:sz w:val="24"/>
          <w:lang w:val="en-US" w:eastAsia="zh-CN"/>
        </w:rPr>
        <w:t>10</w:t>
      </w:r>
      <w:r>
        <w:rPr>
          <w:rFonts w:hint="eastAsia" w:ascii="宋体" w:hAnsi="宋体"/>
          <w:sz w:val="24"/>
        </w:rPr>
        <w:t>天，每天按合同总额的</w:t>
      </w:r>
      <w:r>
        <w:rPr>
          <w:rFonts w:hint="eastAsia" w:ascii="宋体" w:hAnsi="宋体"/>
          <w:sz w:val="24"/>
          <w:lang w:val="en-US" w:eastAsia="zh-CN"/>
        </w:rPr>
        <w:t>1</w:t>
      </w:r>
      <w:r>
        <w:rPr>
          <w:rFonts w:hint="default" w:ascii="Arial" w:hAnsi="Arial" w:cs="Arial"/>
          <w:sz w:val="24"/>
        </w:rPr>
        <w:t>‰</w:t>
      </w:r>
      <w:r>
        <w:rPr>
          <w:rFonts w:hint="eastAsia" w:ascii="宋体" w:hAnsi="宋体"/>
          <w:sz w:val="24"/>
        </w:rPr>
        <w:t>支付给采购人逾期违约金；超过</w:t>
      </w:r>
      <w:r>
        <w:rPr>
          <w:rFonts w:hint="eastAsia" w:ascii="宋体" w:hAnsi="宋体"/>
          <w:sz w:val="24"/>
          <w:lang w:val="en-US" w:eastAsia="zh-CN"/>
        </w:rPr>
        <w:t>20</w:t>
      </w:r>
      <w:r>
        <w:rPr>
          <w:rFonts w:hint="eastAsia" w:ascii="宋体" w:hAnsi="宋体"/>
          <w:sz w:val="24"/>
        </w:rPr>
        <w:t>天，每天按合同的</w:t>
      </w:r>
      <w:r>
        <w:rPr>
          <w:rFonts w:hint="eastAsia" w:ascii="宋体" w:hAnsi="宋体"/>
          <w:sz w:val="24"/>
          <w:lang w:val="en-US" w:eastAsia="zh-CN"/>
        </w:rPr>
        <w:t>20</w:t>
      </w:r>
      <w:r>
        <w:rPr>
          <w:rFonts w:hint="default" w:ascii="Arial" w:hAnsi="Arial" w:cs="Arial"/>
          <w:sz w:val="24"/>
        </w:rPr>
        <w:t>‰</w:t>
      </w:r>
      <w:r>
        <w:rPr>
          <w:rFonts w:hint="eastAsia" w:ascii="宋体" w:hAnsi="宋体"/>
          <w:sz w:val="24"/>
        </w:rPr>
        <w:t>付给采购人逾期违约金；超过30天，采购人有权单方解除合同，并追究中标人违约责任。</w:t>
      </w:r>
    </w:p>
    <w:p>
      <w:pPr>
        <w:widowControl/>
        <w:spacing w:line="400" w:lineRule="exact"/>
        <w:jc w:val="left"/>
        <w:outlineLvl w:val="1"/>
        <w:rPr>
          <w:rFonts w:hint="eastAsia" w:ascii="宋体" w:hAnsi="宋体"/>
          <w:b/>
          <w:bCs/>
          <w:kern w:val="44"/>
          <w:sz w:val="24"/>
        </w:rPr>
      </w:pPr>
      <w:r>
        <w:rPr>
          <w:rFonts w:hint="eastAsia" w:ascii="宋体" w:hAnsi="宋体"/>
          <w:b/>
          <w:bCs/>
          <w:kern w:val="44"/>
          <w:sz w:val="24"/>
          <w:lang w:eastAsia="zh-CN"/>
        </w:rPr>
        <w:t>七</w:t>
      </w:r>
      <w:r>
        <w:rPr>
          <w:rFonts w:hint="eastAsia" w:ascii="宋体" w:hAnsi="宋体"/>
          <w:b/>
          <w:bCs/>
          <w:kern w:val="44"/>
          <w:sz w:val="24"/>
        </w:rPr>
        <w:t>、特别说明：</w:t>
      </w:r>
    </w:p>
    <w:p>
      <w:pPr>
        <w:spacing w:line="400" w:lineRule="exact"/>
        <w:ind w:firstLine="480" w:firstLineChars="200"/>
        <w:rPr>
          <w:rFonts w:hint="eastAsia" w:ascii="宋体" w:hAnsi="宋体"/>
          <w:b/>
          <w:sz w:val="24"/>
        </w:rPr>
      </w:pPr>
      <w:r>
        <w:rPr>
          <w:rFonts w:hint="eastAsia" w:ascii="宋体" w:hAnsi="宋体"/>
          <w:b/>
          <w:sz w:val="24"/>
        </w:rPr>
        <w:t>1.本技术规格只是对系统原则性的要求，并非详尽的要求，投标人有责任对提供的产品符合技术规范负责，并有责任提出在本技术规格中未阐述的但为保证今后能一次性通过验收及保证正常使用所必须的建议和要求，并落实在投标文件报价之中。</w:t>
      </w:r>
    </w:p>
    <w:p>
      <w:pPr>
        <w:spacing w:line="400" w:lineRule="exact"/>
        <w:outlineLvl w:val="1"/>
        <w:rPr>
          <w:rFonts w:hint="eastAsia" w:eastAsia="宋体"/>
          <w:lang w:val="en-US" w:eastAsia="zh-CN"/>
        </w:rPr>
      </w:pPr>
      <w:bookmarkStart w:id="25" w:name="_GoBack"/>
      <w:bookmarkEnd w:id="25"/>
    </w:p>
    <w:p>
      <w:pPr>
        <w:widowControl/>
        <w:shd w:val="clear" w:color="auto" w:fill="FFFFFF"/>
        <w:spacing w:line="360" w:lineRule="auto"/>
        <w:jc w:val="left"/>
      </w:pPr>
      <w:r>
        <w:br w:type="page"/>
      </w:r>
    </w:p>
    <w:p>
      <w:pPr>
        <w:pStyle w:val="2"/>
      </w:pPr>
      <w:bookmarkStart w:id="16" w:name="_Toc12868"/>
      <w:r>
        <w:t>第</w:t>
      </w:r>
      <w:r>
        <w:rPr>
          <w:rFonts w:hint="eastAsia"/>
        </w:rPr>
        <w:t>四</w:t>
      </w:r>
      <w:r>
        <w:t>章</w:t>
      </w:r>
      <w:r>
        <w:rPr>
          <w:rFonts w:hint="eastAsia"/>
        </w:rPr>
        <w:t xml:space="preserve"> </w:t>
      </w:r>
      <w:r>
        <w:t>响应文件格式</w:t>
      </w:r>
      <w:bookmarkEnd w:id="16"/>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7" w:name="_Toc21368"/>
      <w:r>
        <w:rPr>
          <w:rFonts w:hint="eastAsia"/>
        </w:rPr>
        <w:t>1</w:t>
      </w:r>
      <w:r>
        <w:t>、报价一览表</w:t>
      </w:r>
      <w:bookmarkEnd w:id="17"/>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5"/>
        <w:tblW w:w="840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1440"/>
        <w:gridCol w:w="1065"/>
        <w:gridCol w:w="1980"/>
        <w:gridCol w:w="1080"/>
        <w:gridCol w:w="199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1440"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65"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1980" w:type="dxa"/>
            <w:tcBorders>
              <w:top w:val="outset" w:color="auto" w:sz="6" w:space="0"/>
              <w:left w:val="nil"/>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单价（现场）</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99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总价（现场）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8" w:name="_Toc32753"/>
      <w:r>
        <w:rPr>
          <w:rFonts w:hint="eastAsia"/>
        </w:rPr>
        <w:t>2</w:t>
      </w:r>
      <w:r>
        <w:t>、分项报价表</w:t>
      </w:r>
      <w:bookmarkEnd w:id="18"/>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5"/>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9" w:name="_Toc19447"/>
      <w:r>
        <w:rPr>
          <w:rFonts w:hint="eastAsia"/>
        </w:rPr>
        <w:t>3、资格证明文件</w:t>
      </w:r>
      <w:bookmarkEnd w:id="19"/>
    </w:p>
    <w:p>
      <w:pPr>
        <w:pStyle w:val="4"/>
      </w:pPr>
      <w:bookmarkStart w:id="20" w:name="_Toc11904"/>
      <w:r>
        <w:rPr>
          <w:rFonts w:hint="eastAsia"/>
        </w:rPr>
        <w:t>3</w:t>
      </w:r>
      <w:r>
        <w:t>-1单位负责人授权书（若有）</w:t>
      </w:r>
      <w:bookmarkEnd w:id="2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21" w:name="_Toc16968"/>
      <w:r>
        <w:rPr>
          <w:rFonts w:hint="eastAsia"/>
        </w:rPr>
        <w:t>3</w:t>
      </w:r>
      <w:r>
        <w:t>-2营业执照等证明文件</w:t>
      </w:r>
      <w:bookmarkEnd w:id="2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22" w:name="_Toc26424"/>
      <w:r>
        <w:rPr>
          <w:rFonts w:hint="eastAsia"/>
        </w:rPr>
        <w:t>4</w:t>
      </w:r>
      <w:r>
        <w:t>、技术要求响应表</w:t>
      </w:r>
      <w:bookmarkEnd w:id="22"/>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5"/>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23" w:name="_Toc24633"/>
      <w:r>
        <w:rPr>
          <w:rFonts w:hint="eastAsia"/>
        </w:rPr>
        <w:t>5</w:t>
      </w:r>
      <w:r>
        <w:t>、商务条件响应表</w:t>
      </w:r>
      <w:bookmarkEnd w:id="23"/>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5"/>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24" w:name="_Toc25524"/>
      <w:r>
        <w:rPr>
          <w:rFonts w:hint="eastAsia"/>
        </w:rPr>
        <w:t>6</w:t>
      </w:r>
      <w:r>
        <w:t>、</w:t>
      </w:r>
      <w:r>
        <w:rPr>
          <w:rFonts w:hint="eastAsia"/>
        </w:rPr>
        <w:t>售后服务承诺函</w:t>
      </w:r>
      <w:bookmarkEnd w:id="24"/>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一、【按业主要求我司提供的售后服务标准列出】</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二、中标后按要求向贵司提供项目所需相关佐证材料。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altName w:val="宋体"/>
    <w:panose1 w:val="00000000000000000000"/>
    <w:charset w:val="86"/>
    <w:family w:val="auto"/>
    <w:pitch w:val="default"/>
    <w:sig w:usb0="00000000" w:usb1="00000000" w:usb2="00000016" w:usb3="00000000" w:csb0="0004000F" w:csb1="00000000"/>
  </w:font>
  <w:font w:name="等线 Light">
    <w:altName w:val="宋体"/>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Segoe UI Symbol">
    <w:altName w:val="Symbol"/>
    <w:panose1 w:val="020B0502040204020203"/>
    <w:charset w:val="00"/>
    <w:family w:val="swiss"/>
    <w:pitch w:val="default"/>
    <w:sig w:usb0="00000000" w:usb1="00000000" w:usb2="0004C000" w:usb3="00000000" w:csb0="00000001" w:csb1="00000000"/>
  </w:font>
  <w:font w:name="等线">
    <w:altName w:val="Courier New"/>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00007A87" w:usb1="80000000" w:usb2="00000008" w:usb3="00000000" w:csb0="400001FF" w:csb1="FFFF0000"/>
  </w:font>
  <w:font w:name="等线 Light">
    <w:altName w:val="Courier New"/>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b/>
      </w:rPr>
    </w:pPr>
    <w:r>
      <w:rPr>
        <w:b/>
      </w:rPr>
      <w:fldChar w:fldCharType="begin"/>
    </w:r>
    <w:r>
      <w:rPr>
        <w:b/>
      </w:rPr>
      <w:instrText xml:space="preserve">PAGE   \* MERGEFORMAT</w:instrText>
    </w:r>
    <w:r>
      <w:rPr>
        <w:b/>
      </w:rPr>
      <w:fldChar w:fldCharType="separate"/>
    </w:r>
    <w:r>
      <w:rPr>
        <w:b/>
        <w:lang w:val="zh-CN"/>
      </w:rPr>
      <w:t>1</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6C9DD9"/>
    <w:multiLevelType w:val="singleLevel"/>
    <w:tmpl w:val="A36C9DD9"/>
    <w:lvl w:ilvl="0" w:tentative="0">
      <w:start w:val="2"/>
      <w:numFmt w:val="chineseCounting"/>
      <w:suff w:val="nothing"/>
      <w:lvlText w:val="%1、"/>
      <w:lvlJc w:val="left"/>
      <w:rPr>
        <w:rFonts w:hint="eastAsia"/>
      </w:rPr>
    </w:lvl>
  </w:abstractNum>
  <w:abstractNum w:abstractNumId="1">
    <w:nsid w:val="C5F1B494"/>
    <w:multiLevelType w:val="singleLevel"/>
    <w:tmpl w:val="C5F1B494"/>
    <w:lvl w:ilvl="0" w:tentative="0">
      <w:start w:val="1"/>
      <w:numFmt w:val="chineseCounting"/>
      <w:suff w:val="nothing"/>
      <w:lvlText w:val="%1、"/>
      <w:lvlJc w:val="left"/>
      <w:rPr>
        <w:rFonts w:hint="eastAsia"/>
      </w:rPr>
    </w:lvl>
  </w:abstractNum>
  <w:abstractNum w:abstractNumId="2">
    <w:nsid w:val="5A094BD0"/>
    <w:multiLevelType w:val="singleLevel"/>
    <w:tmpl w:val="5A094BD0"/>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F67CA"/>
    <w:rsid w:val="000036C7"/>
    <w:rsid w:val="00032E96"/>
    <w:rsid w:val="00046135"/>
    <w:rsid w:val="000B2720"/>
    <w:rsid w:val="000D4EB6"/>
    <w:rsid w:val="000D6F44"/>
    <w:rsid w:val="000E0FCA"/>
    <w:rsid w:val="000E455D"/>
    <w:rsid w:val="000F7ACF"/>
    <w:rsid w:val="00103BD2"/>
    <w:rsid w:val="00123166"/>
    <w:rsid w:val="001A3FC7"/>
    <w:rsid w:val="001C3959"/>
    <w:rsid w:val="001C4333"/>
    <w:rsid w:val="001F30E9"/>
    <w:rsid w:val="001F67CA"/>
    <w:rsid w:val="002316CC"/>
    <w:rsid w:val="00245A9D"/>
    <w:rsid w:val="00254175"/>
    <w:rsid w:val="002604CB"/>
    <w:rsid w:val="00275081"/>
    <w:rsid w:val="00283579"/>
    <w:rsid w:val="002924DF"/>
    <w:rsid w:val="00292804"/>
    <w:rsid w:val="002A696C"/>
    <w:rsid w:val="002B2AF9"/>
    <w:rsid w:val="002E4F30"/>
    <w:rsid w:val="002F0A50"/>
    <w:rsid w:val="003050C5"/>
    <w:rsid w:val="003421C6"/>
    <w:rsid w:val="00373874"/>
    <w:rsid w:val="0038064A"/>
    <w:rsid w:val="00384135"/>
    <w:rsid w:val="003B2396"/>
    <w:rsid w:val="003B75F5"/>
    <w:rsid w:val="003C2CA3"/>
    <w:rsid w:val="003D03C7"/>
    <w:rsid w:val="003F2F4D"/>
    <w:rsid w:val="00407E2C"/>
    <w:rsid w:val="0041229E"/>
    <w:rsid w:val="00417DC2"/>
    <w:rsid w:val="004277D0"/>
    <w:rsid w:val="004505A3"/>
    <w:rsid w:val="004542A1"/>
    <w:rsid w:val="004B2633"/>
    <w:rsid w:val="004B3DAD"/>
    <w:rsid w:val="004B3F97"/>
    <w:rsid w:val="004D0662"/>
    <w:rsid w:val="004E1853"/>
    <w:rsid w:val="005005FE"/>
    <w:rsid w:val="00543730"/>
    <w:rsid w:val="0055358B"/>
    <w:rsid w:val="005624F3"/>
    <w:rsid w:val="005821CA"/>
    <w:rsid w:val="005B4772"/>
    <w:rsid w:val="005D5D8E"/>
    <w:rsid w:val="005E7B4D"/>
    <w:rsid w:val="005E7BAB"/>
    <w:rsid w:val="0060325D"/>
    <w:rsid w:val="0062243F"/>
    <w:rsid w:val="0066787A"/>
    <w:rsid w:val="00691F96"/>
    <w:rsid w:val="006966E6"/>
    <w:rsid w:val="006A148F"/>
    <w:rsid w:val="007064F2"/>
    <w:rsid w:val="007156DD"/>
    <w:rsid w:val="007248C4"/>
    <w:rsid w:val="00734B3B"/>
    <w:rsid w:val="00740EC3"/>
    <w:rsid w:val="00793D48"/>
    <w:rsid w:val="007C386F"/>
    <w:rsid w:val="007C3B30"/>
    <w:rsid w:val="007D181F"/>
    <w:rsid w:val="007E218F"/>
    <w:rsid w:val="007F23C2"/>
    <w:rsid w:val="0080797A"/>
    <w:rsid w:val="00813FFE"/>
    <w:rsid w:val="00822C1E"/>
    <w:rsid w:val="00851277"/>
    <w:rsid w:val="00857022"/>
    <w:rsid w:val="00871596"/>
    <w:rsid w:val="00887F0A"/>
    <w:rsid w:val="00893B30"/>
    <w:rsid w:val="008A21EB"/>
    <w:rsid w:val="008C30AA"/>
    <w:rsid w:val="008C3B7A"/>
    <w:rsid w:val="008D0DA2"/>
    <w:rsid w:val="008D115D"/>
    <w:rsid w:val="008E46F3"/>
    <w:rsid w:val="008F62F8"/>
    <w:rsid w:val="00916232"/>
    <w:rsid w:val="009270AD"/>
    <w:rsid w:val="00930A65"/>
    <w:rsid w:val="009314B8"/>
    <w:rsid w:val="009332C9"/>
    <w:rsid w:val="0097173B"/>
    <w:rsid w:val="009856AD"/>
    <w:rsid w:val="00994B1F"/>
    <w:rsid w:val="009A3126"/>
    <w:rsid w:val="009F35B6"/>
    <w:rsid w:val="009F76F7"/>
    <w:rsid w:val="00A477CE"/>
    <w:rsid w:val="00A67A3F"/>
    <w:rsid w:val="00A72C8F"/>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7C84"/>
    <w:rsid w:val="00BB221D"/>
    <w:rsid w:val="00BC6834"/>
    <w:rsid w:val="00BF2656"/>
    <w:rsid w:val="00C0619D"/>
    <w:rsid w:val="00C203A4"/>
    <w:rsid w:val="00C316D3"/>
    <w:rsid w:val="00C733FE"/>
    <w:rsid w:val="00CB5CE4"/>
    <w:rsid w:val="00CC50FA"/>
    <w:rsid w:val="00CD67F8"/>
    <w:rsid w:val="00D02B6F"/>
    <w:rsid w:val="00D534B4"/>
    <w:rsid w:val="00D9797B"/>
    <w:rsid w:val="00DA7C03"/>
    <w:rsid w:val="00DB7483"/>
    <w:rsid w:val="00E46A5A"/>
    <w:rsid w:val="00E541A9"/>
    <w:rsid w:val="00E56762"/>
    <w:rsid w:val="00E86EA0"/>
    <w:rsid w:val="00E87A1D"/>
    <w:rsid w:val="00ED3E3A"/>
    <w:rsid w:val="00ED6B99"/>
    <w:rsid w:val="00F37F85"/>
    <w:rsid w:val="00F462D3"/>
    <w:rsid w:val="00F50C66"/>
    <w:rsid w:val="00F8124F"/>
    <w:rsid w:val="00F955FD"/>
    <w:rsid w:val="00FF3404"/>
    <w:rsid w:val="0186520A"/>
    <w:rsid w:val="01CA7D71"/>
    <w:rsid w:val="025414A3"/>
    <w:rsid w:val="0CBA46CE"/>
    <w:rsid w:val="0DDE514A"/>
    <w:rsid w:val="0E1D2F35"/>
    <w:rsid w:val="13E94009"/>
    <w:rsid w:val="195B7226"/>
    <w:rsid w:val="1C9661C2"/>
    <w:rsid w:val="2003214F"/>
    <w:rsid w:val="20903B57"/>
    <w:rsid w:val="224123EA"/>
    <w:rsid w:val="27EF30AF"/>
    <w:rsid w:val="281F6275"/>
    <w:rsid w:val="2A776C51"/>
    <w:rsid w:val="2A8F3ACE"/>
    <w:rsid w:val="2C640104"/>
    <w:rsid w:val="2F166109"/>
    <w:rsid w:val="30D22F66"/>
    <w:rsid w:val="32692307"/>
    <w:rsid w:val="38435B0E"/>
    <w:rsid w:val="38641FE2"/>
    <w:rsid w:val="3ADB7028"/>
    <w:rsid w:val="408E7458"/>
    <w:rsid w:val="456E3B2A"/>
    <w:rsid w:val="48402E9E"/>
    <w:rsid w:val="4A210D79"/>
    <w:rsid w:val="4E705210"/>
    <w:rsid w:val="4F8945F8"/>
    <w:rsid w:val="528C770B"/>
    <w:rsid w:val="53637492"/>
    <w:rsid w:val="54CE2685"/>
    <w:rsid w:val="56A73B4F"/>
    <w:rsid w:val="5D3F0E19"/>
    <w:rsid w:val="62E65DE6"/>
    <w:rsid w:val="654827AB"/>
    <w:rsid w:val="660F705E"/>
    <w:rsid w:val="67B1191C"/>
    <w:rsid w:val="68094B24"/>
    <w:rsid w:val="6C692F56"/>
    <w:rsid w:val="70A131A5"/>
    <w:rsid w:val="72796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5"/>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6"/>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Plain Text"/>
    <w:basedOn w:val="1"/>
    <w:uiPriority w:val="0"/>
    <w:rPr>
      <w:rFonts w:ascii="宋体" w:hAnsi="Courier New"/>
      <w:sz w:val="21"/>
      <w:szCs w:val="20"/>
    </w:rPr>
  </w:style>
  <w:style w:type="paragraph" w:styleId="8">
    <w:name w:val="Balloon Text"/>
    <w:basedOn w:val="1"/>
    <w:link w:val="218"/>
    <w:semiHidden/>
    <w:unhideWhenUsed/>
    <w:qFormat/>
    <w:uiPriority w:val="99"/>
    <w:rPr>
      <w:sz w:val="18"/>
      <w:szCs w:val="18"/>
    </w:rPr>
  </w:style>
  <w:style w:type="paragraph" w:styleId="9">
    <w:name w:val="footer"/>
    <w:basedOn w:val="1"/>
    <w:link w:val="213"/>
    <w:unhideWhenUsed/>
    <w:qFormat/>
    <w:uiPriority w:val="99"/>
    <w:pPr>
      <w:tabs>
        <w:tab w:val="center" w:pos="4153"/>
        <w:tab w:val="right" w:pos="8306"/>
      </w:tabs>
      <w:snapToGrid w:val="0"/>
      <w:jc w:val="left"/>
    </w:pPr>
    <w:rPr>
      <w:sz w:val="18"/>
      <w:szCs w:val="18"/>
    </w:rPr>
  </w:style>
  <w:style w:type="paragraph" w:styleId="10">
    <w:name w:val="header"/>
    <w:basedOn w:val="1"/>
    <w:link w:val="212"/>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HTML Preformatted"/>
    <w:basedOn w:val="1"/>
    <w:link w:val="27"/>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4">
    <w:name w:val="Normal (Web)"/>
    <w:basedOn w:val="1"/>
    <w:unhideWhenUsed/>
    <w:qFormat/>
    <w:uiPriority w:val="99"/>
    <w:pPr>
      <w:widowControl/>
      <w:jc w:val="left"/>
    </w:pPr>
    <w:rPr>
      <w:rFonts w:ascii="宋体" w:hAnsi="宋体" w:eastAsia="宋体" w:cs="宋体"/>
      <w:kern w:val="0"/>
      <w:sz w:val="24"/>
      <w:szCs w:val="24"/>
    </w:r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character" w:styleId="19">
    <w:name w:val="FollowedHyperlink"/>
    <w:basedOn w:val="17"/>
    <w:semiHidden/>
    <w:unhideWhenUsed/>
    <w:qFormat/>
    <w:uiPriority w:val="99"/>
    <w:rPr>
      <w:color w:val="551A8B"/>
      <w:u w:val="none"/>
    </w:rPr>
  </w:style>
  <w:style w:type="character" w:styleId="20">
    <w:name w:val="HTML Definition"/>
    <w:basedOn w:val="17"/>
    <w:semiHidden/>
    <w:unhideWhenUsed/>
    <w:qFormat/>
    <w:uiPriority w:val="99"/>
    <w:rPr>
      <w:i/>
      <w:iCs/>
    </w:rPr>
  </w:style>
  <w:style w:type="character" w:styleId="21">
    <w:name w:val="Hyperlink"/>
    <w:basedOn w:val="17"/>
    <w:unhideWhenUsed/>
    <w:qFormat/>
    <w:uiPriority w:val="99"/>
    <w:rPr>
      <w:color w:val="0000EE"/>
      <w:u w:val="none"/>
    </w:rPr>
  </w:style>
  <w:style w:type="character" w:styleId="22">
    <w:name w:val="HTML Code"/>
    <w:basedOn w:val="17"/>
    <w:semiHidden/>
    <w:unhideWhenUsed/>
    <w:qFormat/>
    <w:uiPriority w:val="99"/>
    <w:rPr>
      <w:rFonts w:hint="default" w:ascii="Courier New" w:hAnsi="Courier New" w:eastAsia="宋体" w:cs="宋体"/>
      <w:sz w:val="24"/>
      <w:szCs w:val="24"/>
    </w:rPr>
  </w:style>
  <w:style w:type="character" w:styleId="23">
    <w:name w:val="HTML Keyboard"/>
    <w:basedOn w:val="17"/>
    <w:semiHidden/>
    <w:unhideWhenUsed/>
    <w:qFormat/>
    <w:uiPriority w:val="99"/>
    <w:rPr>
      <w:rFonts w:hint="default" w:ascii="Courier New" w:hAnsi="Courier New" w:eastAsia="宋体" w:cs="宋体"/>
      <w:sz w:val="24"/>
      <w:szCs w:val="24"/>
    </w:rPr>
  </w:style>
  <w:style w:type="character" w:styleId="24">
    <w:name w:val="HTML Sample"/>
    <w:basedOn w:val="17"/>
    <w:semiHidden/>
    <w:unhideWhenUsed/>
    <w:qFormat/>
    <w:uiPriority w:val="99"/>
    <w:rPr>
      <w:rFonts w:hint="default" w:ascii="Courier New" w:hAnsi="Courier New" w:eastAsia="宋体" w:cs="宋体"/>
      <w:sz w:val="24"/>
      <w:szCs w:val="24"/>
    </w:rPr>
  </w:style>
  <w:style w:type="character" w:customStyle="1" w:styleId="25">
    <w:name w:val="标题 1 Char"/>
    <w:basedOn w:val="17"/>
    <w:link w:val="2"/>
    <w:qFormat/>
    <w:uiPriority w:val="9"/>
    <w:rPr>
      <w:rFonts w:ascii="宋体" w:hAnsi="宋体" w:eastAsia="宋体" w:cs="宋体"/>
      <w:b/>
      <w:bCs/>
      <w:kern w:val="36"/>
      <w:sz w:val="48"/>
      <w:szCs w:val="48"/>
    </w:rPr>
  </w:style>
  <w:style w:type="character" w:customStyle="1" w:styleId="26">
    <w:name w:val="标题 4 Char"/>
    <w:basedOn w:val="17"/>
    <w:link w:val="5"/>
    <w:qFormat/>
    <w:uiPriority w:val="9"/>
    <w:rPr>
      <w:rFonts w:ascii="宋体" w:hAnsi="宋体" w:eastAsia="宋体" w:cs="宋体"/>
      <w:b/>
      <w:bCs/>
      <w:kern w:val="0"/>
      <w:sz w:val="24"/>
      <w:szCs w:val="24"/>
    </w:rPr>
  </w:style>
  <w:style w:type="character" w:customStyle="1" w:styleId="27">
    <w:name w:val="HTML 预设格式 Char"/>
    <w:basedOn w:val="17"/>
    <w:link w:val="13"/>
    <w:semiHidden/>
    <w:qFormat/>
    <w:uiPriority w:val="99"/>
    <w:rPr>
      <w:rFonts w:ascii="Courier New" w:hAnsi="Courier New" w:eastAsia="宋体" w:cs="宋体"/>
      <w:kern w:val="0"/>
      <w:sz w:val="24"/>
      <w:szCs w:val="24"/>
    </w:rPr>
  </w:style>
  <w:style w:type="paragraph" w:customStyle="1" w:styleId="28">
    <w:name w:val="msonormal"/>
    <w:basedOn w:val="1"/>
    <w:qFormat/>
    <w:uiPriority w:val="0"/>
    <w:pPr>
      <w:widowControl/>
      <w:jc w:val="left"/>
    </w:pPr>
    <w:rPr>
      <w:rFonts w:ascii="宋体" w:hAnsi="宋体" w:eastAsia="宋体" w:cs="宋体"/>
      <w:kern w:val="0"/>
      <w:sz w:val="24"/>
      <w:szCs w:val="24"/>
    </w:rPr>
  </w:style>
  <w:style w:type="paragraph" w:customStyle="1" w:styleId="29">
    <w:name w:val="ir"/>
    <w:basedOn w:val="1"/>
    <w:qFormat/>
    <w:uiPriority w:val="0"/>
    <w:pPr>
      <w:widowControl/>
      <w:ind w:firstLine="22384"/>
      <w:jc w:val="left"/>
    </w:pPr>
    <w:rPr>
      <w:rFonts w:ascii="宋体" w:hAnsi="宋体" w:eastAsia="宋体" w:cs="宋体"/>
      <w:kern w:val="0"/>
      <w:sz w:val="24"/>
      <w:szCs w:val="24"/>
    </w:rPr>
  </w:style>
  <w:style w:type="paragraph" w:customStyle="1" w:styleId="30">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1">
    <w:name w:val="image"/>
    <w:basedOn w:val="1"/>
    <w:qFormat/>
    <w:uiPriority w:val="0"/>
    <w:pPr>
      <w:widowControl/>
      <w:jc w:val="left"/>
    </w:pPr>
    <w:rPr>
      <w:rFonts w:ascii="宋体" w:hAnsi="宋体" w:eastAsia="宋体" w:cs="宋体"/>
      <w:kern w:val="0"/>
      <w:sz w:val="24"/>
      <w:szCs w:val="24"/>
    </w:rPr>
  </w:style>
  <w:style w:type="paragraph" w:customStyle="1" w:styleId="32">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3">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4">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5">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6">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7">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8">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9">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40">
    <w:name w:val="pag_box3"/>
    <w:basedOn w:val="1"/>
    <w:qFormat/>
    <w:uiPriority w:val="0"/>
    <w:pPr>
      <w:widowControl/>
      <w:spacing w:before="150"/>
      <w:jc w:val="left"/>
    </w:pPr>
    <w:rPr>
      <w:rFonts w:ascii="宋体" w:hAnsi="宋体" w:eastAsia="宋体" w:cs="宋体"/>
      <w:kern w:val="0"/>
      <w:sz w:val="24"/>
      <w:szCs w:val="24"/>
    </w:rPr>
  </w:style>
  <w:style w:type="paragraph" w:customStyle="1" w:styleId="41">
    <w:name w:val="pag_box3b"/>
    <w:basedOn w:val="1"/>
    <w:qFormat/>
    <w:uiPriority w:val="0"/>
    <w:pPr>
      <w:widowControl/>
      <w:spacing w:before="150"/>
      <w:jc w:val="left"/>
    </w:pPr>
    <w:rPr>
      <w:rFonts w:ascii="宋体" w:hAnsi="宋体" w:eastAsia="宋体" w:cs="宋体"/>
      <w:kern w:val="0"/>
      <w:sz w:val="24"/>
      <w:szCs w:val="24"/>
    </w:rPr>
  </w:style>
  <w:style w:type="paragraph" w:customStyle="1" w:styleId="42">
    <w:name w:val="pag_box4"/>
    <w:basedOn w:val="1"/>
    <w:qFormat/>
    <w:uiPriority w:val="0"/>
    <w:pPr>
      <w:widowControl/>
      <w:jc w:val="left"/>
    </w:pPr>
    <w:rPr>
      <w:rFonts w:ascii="宋体" w:hAnsi="宋体" w:eastAsia="宋体" w:cs="宋体"/>
      <w:kern w:val="0"/>
      <w:sz w:val="24"/>
      <w:szCs w:val="24"/>
    </w:rPr>
  </w:style>
  <w:style w:type="paragraph" w:customStyle="1" w:styleId="43">
    <w:name w:val="pag_box15"/>
    <w:basedOn w:val="1"/>
    <w:qFormat/>
    <w:uiPriority w:val="0"/>
    <w:pPr>
      <w:widowControl/>
      <w:jc w:val="left"/>
    </w:pPr>
    <w:rPr>
      <w:rFonts w:ascii="宋体" w:hAnsi="宋体" w:eastAsia="宋体" w:cs="宋体"/>
      <w:kern w:val="0"/>
      <w:sz w:val="24"/>
      <w:szCs w:val="24"/>
    </w:rPr>
  </w:style>
  <w:style w:type="paragraph" w:customStyle="1" w:styleId="44">
    <w:name w:val="pag_box15b"/>
    <w:basedOn w:val="1"/>
    <w:qFormat/>
    <w:uiPriority w:val="0"/>
    <w:pPr>
      <w:widowControl/>
      <w:jc w:val="left"/>
    </w:pPr>
    <w:rPr>
      <w:rFonts w:ascii="宋体" w:hAnsi="宋体" w:eastAsia="宋体" w:cs="宋体"/>
      <w:kern w:val="0"/>
      <w:sz w:val="24"/>
      <w:szCs w:val="24"/>
    </w:rPr>
  </w:style>
  <w:style w:type="paragraph" w:customStyle="1" w:styleId="45">
    <w:name w:val="pag_box5"/>
    <w:basedOn w:val="1"/>
    <w:qFormat/>
    <w:uiPriority w:val="0"/>
    <w:pPr>
      <w:widowControl/>
      <w:jc w:val="left"/>
    </w:pPr>
    <w:rPr>
      <w:rFonts w:ascii="宋体" w:hAnsi="宋体" w:eastAsia="宋体" w:cs="宋体"/>
      <w:kern w:val="0"/>
      <w:sz w:val="24"/>
      <w:szCs w:val="24"/>
    </w:rPr>
  </w:style>
  <w:style w:type="paragraph" w:customStyle="1" w:styleId="46">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7">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8">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49">
    <w:name w:val="pag_box8"/>
    <w:basedOn w:val="1"/>
    <w:qFormat/>
    <w:uiPriority w:val="0"/>
    <w:pPr>
      <w:widowControl/>
      <w:jc w:val="left"/>
    </w:pPr>
    <w:rPr>
      <w:rFonts w:ascii="宋体" w:hAnsi="宋体" w:eastAsia="宋体" w:cs="宋体"/>
      <w:kern w:val="0"/>
      <w:sz w:val="24"/>
      <w:szCs w:val="24"/>
    </w:rPr>
  </w:style>
  <w:style w:type="paragraph" w:customStyle="1" w:styleId="50">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1">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2">
    <w:name w:val="pag_box11"/>
    <w:basedOn w:val="1"/>
    <w:qFormat/>
    <w:uiPriority w:val="0"/>
    <w:pPr>
      <w:widowControl/>
      <w:jc w:val="left"/>
    </w:pPr>
    <w:rPr>
      <w:rFonts w:ascii="宋体" w:hAnsi="宋体" w:eastAsia="宋体" w:cs="宋体"/>
      <w:kern w:val="0"/>
      <w:sz w:val="24"/>
      <w:szCs w:val="24"/>
    </w:rPr>
  </w:style>
  <w:style w:type="paragraph" w:customStyle="1" w:styleId="53">
    <w:name w:val="pag_box12"/>
    <w:basedOn w:val="1"/>
    <w:qFormat/>
    <w:uiPriority w:val="0"/>
    <w:pPr>
      <w:widowControl/>
      <w:jc w:val="left"/>
    </w:pPr>
    <w:rPr>
      <w:rFonts w:ascii="宋体" w:hAnsi="宋体" w:eastAsia="宋体" w:cs="宋体"/>
      <w:kern w:val="0"/>
      <w:sz w:val="24"/>
      <w:szCs w:val="24"/>
    </w:rPr>
  </w:style>
  <w:style w:type="paragraph" w:customStyle="1" w:styleId="54">
    <w:name w:val="pag_box13"/>
    <w:basedOn w:val="1"/>
    <w:qFormat/>
    <w:uiPriority w:val="0"/>
    <w:pPr>
      <w:widowControl/>
      <w:jc w:val="left"/>
    </w:pPr>
    <w:rPr>
      <w:rFonts w:ascii="宋体" w:hAnsi="宋体" w:eastAsia="宋体" w:cs="宋体"/>
      <w:kern w:val="0"/>
      <w:sz w:val="24"/>
      <w:szCs w:val="24"/>
    </w:rPr>
  </w:style>
  <w:style w:type="paragraph" w:customStyle="1" w:styleId="55">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6">
    <w:name w:val="pag_box16"/>
    <w:basedOn w:val="1"/>
    <w:qFormat/>
    <w:uiPriority w:val="0"/>
    <w:pPr>
      <w:widowControl/>
      <w:jc w:val="left"/>
    </w:pPr>
    <w:rPr>
      <w:rFonts w:ascii="宋体" w:hAnsi="宋体" w:eastAsia="宋体" w:cs="宋体"/>
      <w:kern w:val="0"/>
      <w:sz w:val="24"/>
      <w:szCs w:val="24"/>
    </w:rPr>
  </w:style>
  <w:style w:type="paragraph" w:customStyle="1" w:styleId="57">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8">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59">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60">
    <w:name w:val="pag_box21"/>
    <w:basedOn w:val="1"/>
    <w:qFormat/>
    <w:uiPriority w:val="0"/>
    <w:pPr>
      <w:widowControl/>
      <w:spacing w:before="450"/>
      <w:jc w:val="left"/>
    </w:pPr>
    <w:rPr>
      <w:rFonts w:ascii="宋体" w:hAnsi="宋体" w:eastAsia="宋体" w:cs="宋体"/>
      <w:kern w:val="0"/>
      <w:sz w:val="24"/>
      <w:szCs w:val="24"/>
    </w:rPr>
  </w:style>
  <w:style w:type="paragraph" w:customStyle="1" w:styleId="61">
    <w:name w:val="pag_box22"/>
    <w:basedOn w:val="1"/>
    <w:qFormat/>
    <w:uiPriority w:val="0"/>
    <w:pPr>
      <w:widowControl/>
      <w:jc w:val="left"/>
    </w:pPr>
    <w:rPr>
      <w:rFonts w:ascii="宋体" w:hAnsi="宋体" w:eastAsia="宋体" w:cs="宋体"/>
      <w:kern w:val="0"/>
      <w:sz w:val="24"/>
      <w:szCs w:val="24"/>
    </w:rPr>
  </w:style>
  <w:style w:type="paragraph" w:customStyle="1" w:styleId="62">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3">
    <w:name w:val="pag_box23"/>
    <w:basedOn w:val="1"/>
    <w:qFormat/>
    <w:uiPriority w:val="0"/>
    <w:pPr>
      <w:widowControl/>
      <w:ind w:left="90"/>
      <w:jc w:val="left"/>
    </w:pPr>
    <w:rPr>
      <w:rFonts w:ascii="宋体" w:hAnsi="宋体" w:eastAsia="宋体" w:cs="宋体"/>
      <w:kern w:val="0"/>
      <w:sz w:val="24"/>
      <w:szCs w:val="24"/>
    </w:rPr>
  </w:style>
  <w:style w:type="paragraph" w:customStyle="1" w:styleId="64">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5">
    <w:name w:val="pag_box24"/>
    <w:basedOn w:val="1"/>
    <w:qFormat/>
    <w:uiPriority w:val="0"/>
    <w:pPr>
      <w:widowControl/>
      <w:ind w:left="90"/>
      <w:jc w:val="left"/>
    </w:pPr>
    <w:rPr>
      <w:rFonts w:ascii="宋体" w:hAnsi="宋体" w:eastAsia="宋体" w:cs="宋体"/>
      <w:kern w:val="0"/>
      <w:sz w:val="24"/>
      <w:szCs w:val="24"/>
    </w:rPr>
  </w:style>
  <w:style w:type="paragraph" w:customStyle="1" w:styleId="66">
    <w:name w:val="pag_box25"/>
    <w:basedOn w:val="1"/>
    <w:qFormat/>
    <w:uiPriority w:val="0"/>
    <w:pPr>
      <w:widowControl/>
      <w:ind w:left="90"/>
      <w:jc w:val="left"/>
    </w:pPr>
    <w:rPr>
      <w:rFonts w:ascii="宋体" w:hAnsi="宋体" w:eastAsia="宋体" w:cs="宋体"/>
      <w:kern w:val="0"/>
      <w:sz w:val="24"/>
      <w:szCs w:val="24"/>
    </w:rPr>
  </w:style>
  <w:style w:type="paragraph" w:customStyle="1" w:styleId="67">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8">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69">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70">
    <w:name w:val="pag_box27"/>
    <w:basedOn w:val="1"/>
    <w:qFormat/>
    <w:uiPriority w:val="0"/>
    <w:pPr>
      <w:widowControl/>
      <w:spacing w:before="300"/>
      <w:jc w:val="left"/>
    </w:pPr>
    <w:rPr>
      <w:rFonts w:ascii="宋体" w:hAnsi="宋体" w:eastAsia="宋体" w:cs="宋体"/>
      <w:kern w:val="0"/>
      <w:sz w:val="24"/>
      <w:szCs w:val="24"/>
    </w:rPr>
  </w:style>
  <w:style w:type="paragraph" w:customStyle="1" w:styleId="71">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2">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3">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4">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5">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6">
    <w:name w:val="pag_box30"/>
    <w:basedOn w:val="1"/>
    <w:qFormat/>
    <w:uiPriority w:val="0"/>
    <w:pPr>
      <w:widowControl/>
      <w:spacing w:before="180"/>
      <w:jc w:val="left"/>
    </w:pPr>
    <w:rPr>
      <w:rFonts w:ascii="宋体" w:hAnsi="宋体" w:eastAsia="宋体" w:cs="宋体"/>
      <w:kern w:val="0"/>
      <w:sz w:val="24"/>
      <w:szCs w:val="24"/>
    </w:rPr>
  </w:style>
  <w:style w:type="paragraph" w:customStyle="1" w:styleId="77">
    <w:name w:val="pag_box31"/>
    <w:basedOn w:val="1"/>
    <w:qFormat/>
    <w:uiPriority w:val="0"/>
    <w:pPr>
      <w:widowControl/>
      <w:spacing w:before="630"/>
      <w:jc w:val="left"/>
    </w:pPr>
    <w:rPr>
      <w:rFonts w:ascii="宋体" w:hAnsi="宋体" w:eastAsia="宋体" w:cs="宋体"/>
      <w:kern w:val="0"/>
      <w:sz w:val="24"/>
      <w:szCs w:val="24"/>
    </w:rPr>
  </w:style>
  <w:style w:type="paragraph" w:customStyle="1" w:styleId="78">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79">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80">
    <w:name w:val="pag_box32"/>
    <w:basedOn w:val="1"/>
    <w:qFormat/>
    <w:uiPriority w:val="0"/>
    <w:pPr>
      <w:widowControl/>
      <w:ind w:right="300"/>
      <w:jc w:val="left"/>
    </w:pPr>
    <w:rPr>
      <w:rFonts w:ascii="宋体" w:hAnsi="宋体" w:eastAsia="宋体" w:cs="宋体"/>
      <w:kern w:val="0"/>
      <w:sz w:val="24"/>
      <w:szCs w:val="24"/>
    </w:rPr>
  </w:style>
  <w:style w:type="paragraph" w:customStyle="1" w:styleId="81">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2">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3">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4">
    <w:name w:val="pag_box34b"/>
    <w:basedOn w:val="1"/>
    <w:qFormat/>
    <w:uiPriority w:val="0"/>
    <w:pPr>
      <w:widowControl/>
      <w:spacing w:before="300"/>
      <w:jc w:val="left"/>
    </w:pPr>
    <w:rPr>
      <w:rFonts w:ascii="宋体" w:hAnsi="宋体" w:eastAsia="宋体" w:cs="宋体"/>
      <w:kern w:val="0"/>
      <w:sz w:val="24"/>
      <w:szCs w:val="24"/>
    </w:rPr>
  </w:style>
  <w:style w:type="paragraph" w:customStyle="1" w:styleId="85">
    <w:name w:val="pag_text24"/>
    <w:basedOn w:val="1"/>
    <w:qFormat/>
    <w:uiPriority w:val="0"/>
    <w:pPr>
      <w:widowControl/>
      <w:jc w:val="left"/>
    </w:pPr>
    <w:rPr>
      <w:rFonts w:ascii="宋体" w:hAnsi="宋体" w:eastAsia="宋体" w:cs="宋体"/>
      <w:kern w:val="0"/>
      <w:sz w:val="24"/>
      <w:szCs w:val="24"/>
    </w:rPr>
  </w:style>
  <w:style w:type="paragraph" w:customStyle="1" w:styleId="86">
    <w:name w:val="pag_box35"/>
    <w:basedOn w:val="1"/>
    <w:qFormat/>
    <w:uiPriority w:val="0"/>
    <w:pPr>
      <w:widowControl/>
      <w:spacing w:before="900"/>
      <w:jc w:val="left"/>
    </w:pPr>
    <w:rPr>
      <w:rFonts w:ascii="宋体" w:hAnsi="宋体" w:eastAsia="宋体" w:cs="宋体"/>
      <w:kern w:val="0"/>
      <w:sz w:val="24"/>
      <w:szCs w:val="24"/>
    </w:rPr>
  </w:style>
  <w:style w:type="paragraph" w:customStyle="1" w:styleId="87">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8">
    <w:name w:val="pag_box18"/>
    <w:basedOn w:val="1"/>
    <w:qFormat/>
    <w:uiPriority w:val="0"/>
    <w:pPr>
      <w:widowControl/>
      <w:jc w:val="left"/>
    </w:pPr>
    <w:rPr>
      <w:rFonts w:ascii="宋体" w:hAnsi="宋体" w:eastAsia="宋体" w:cs="宋体"/>
      <w:kern w:val="0"/>
      <w:sz w:val="24"/>
      <w:szCs w:val="24"/>
    </w:rPr>
  </w:style>
  <w:style w:type="paragraph" w:customStyle="1" w:styleId="89">
    <w:name w:val="pag_formgroup"/>
    <w:basedOn w:val="1"/>
    <w:qFormat/>
    <w:uiPriority w:val="0"/>
    <w:pPr>
      <w:widowControl/>
      <w:jc w:val="left"/>
    </w:pPr>
    <w:rPr>
      <w:rFonts w:ascii="宋体" w:hAnsi="宋体" w:eastAsia="宋体" w:cs="宋体"/>
      <w:kern w:val="0"/>
      <w:sz w:val="24"/>
      <w:szCs w:val="24"/>
    </w:rPr>
  </w:style>
  <w:style w:type="paragraph" w:customStyle="1" w:styleId="90">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1">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2">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3">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4">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5">
    <w:name w:val="pag_image2"/>
    <w:basedOn w:val="1"/>
    <w:qFormat/>
    <w:uiPriority w:val="0"/>
    <w:pPr>
      <w:widowControl/>
      <w:jc w:val="left"/>
    </w:pPr>
    <w:rPr>
      <w:rFonts w:ascii="宋体" w:hAnsi="宋体" w:eastAsia="宋体" w:cs="宋体"/>
      <w:color w:val="000000"/>
      <w:kern w:val="0"/>
      <w:sz w:val="24"/>
      <w:szCs w:val="24"/>
    </w:rPr>
  </w:style>
  <w:style w:type="paragraph" w:customStyle="1" w:styleId="96">
    <w:name w:val="pag_box37"/>
    <w:basedOn w:val="1"/>
    <w:qFormat/>
    <w:uiPriority w:val="0"/>
    <w:pPr>
      <w:widowControl/>
      <w:spacing w:before="300"/>
      <w:jc w:val="left"/>
    </w:pPr>
    <w:rPr>
      <w:rFonts w:ascii="宋体" w:hAnsi="宋体" w:eastAsia="宋体" w:cs="宋体"/>
      <w:kern w:val="0"/>
      <w:sz w:val="24"/>
      <w:szCs w:val="24"/>
    </w:rPr>
  </w:style>
  <w:style w:type="paragraph" w:customStyle="1" w:styleId="97">
    <w:name w:val="pag_box38"/>
    <w:basedOn w:val="1"/>
    <w:qFormat/>
    <w:uiPriority w:val="0"/>
    <w:pPr>
      <w:widowControl/>
      <w:spacing w:before="300"/>
      <w:jc w:val="left"/>
    </w:pPr>
    <w:rPr>
      <w:rFonts w:ascii="宋体" w:hAnsi="宋体" w:eastAsia="宋体" w:cs="宋体"/>
      <w:kern w:val="0"/>
      <w:sz w:val="24"/>
      <w:szCs w:val="24"/>
    </w:rPr>
  </w:style>
  <w:style w:type="paragraph" w:customStyle="1" w:styleId="98">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99">
    <w:name w:val="pag_box40"/>
    <w:basedOn w:val="1"/>
    <w:qFormat/>
    <w:uiPriority w:val="0"/>
    <w:pPr>
      <w:widowControl/>
      <w:jc w:val="left"/>
    </w:pPr>
    <w:rPr>
      <w:rFonts w:ascii="宋体" w:hAnsi="宋体" w:eastAsia="宋体" w:cs="宋体"/>
      <w:kern w:val="0"/>
      <w:sz w:val="24"/>
      <w:szCs w:val="24"/>
    </w:rPr>
  </w:style>
  <w:style w:type="paragraph" w:customStyle="1" w:styleId="100">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101">
    <w:name w:val="pag_box43"/>
    <w:basedOn w:val="1"/>
    <w:qFormat/>
    <w:uiPriority w:val="0"/>
    <w:pPr>
      <w:widowControl/>
      <w:jc w:val="left"/>
    </w:pPr>
    <w:rPr>
      <w:rFonts w:ascii="宋体" w:hAnsi="宋体" w:eastAsia="宋体" w:cs="宋体"/>
      <w:kern w:val="0"/>
      <w:sz w:val="24"/>
      <w:szCs w:val="24"/>
    </w:rPr>
  </w:style>
  <w:style w:type="paragraph" w:customStyle="1" w:styleId="102">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3">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4">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5">
    <w:name w:val="subnavbox"/>
    <w:basedOn w:val="1"/>
    <w:qFormat/>
    <w:uiPriority w:val="0"/>
    <w:pPr>
      <w:widowControl/>
      <w:jc w:val="left"/>
    </w:pPr>
    <w:rPr>
      <w:rFonts w:ascii="宋体" w:hAnsi="宋体" w:eastAsia="宋体" w:cs="宋体"/>
      <w:kern w:val="0"/>
      <w:sz w:val="24"/>
      <w:szCs w:val="24"/>
    </w:rPr>
  </w:style>
  <w:style w:type="paragraph" w:customStyle="1" w:styleId="106">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7">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8">
    <w:name w:val="currentdt"/>
    <w:basedOn w:val="1"/>
    <w:qFormat/>
    <w:uiPriority w:val="0"/>
    <w:pPr>
      <w:widowControl/>
      <w:jc w:val="left"/>
    </w:pPr>
    <w:rPr>
      <w:rFonts w:ascii="宋体" w:hAnsi="宋体" w:eastAsia="宋体" w:cs="宋体"/>
      <w:kern w:val="0"/>
      <w:sz w:val="24"/>
      <w:szCs w:val="24"/>
    </w:rPr>
  </w:style>
  <w:style w:type="paragraph" w:customStyle="1" w:styleId="109">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10">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1">
    <w:name w:val="inx_box"/>
    <w:basedOn w:val="1"/>
    <w:qFormat/>
    <w:uiPriority w:val="0"/>
    <w:pPr>
      <w:widowControl/>
      <w:jc w:val="left"/>
    </w:pPr>
    <w:rPr>
      <w:rFonts w:ascii="宋体" w:hAnsi="宋体" w:eastAsia="宋体" w:cs="宋体"/>
      <w:kern w:val="0"/>
      <w:sz w:val="24"/>
      <w:szCs w:val="24"/>
    </w:rPr>
  </w:style>
  <w:style w:type="paragraph" w:customStyle="1" w:styleId="112">
    <w:name w:val="inx_image"/>
    <w:basedOn w:val="1"/>
    <w:qFormat/>
    <w:uiPriority w:val="0"/>
    <w:pPr>
      <w:widowControl/>
      <w:jc w:val="left"/>
    </w:pPr>
    <w:rPr>
      <w:rFonts w:ascii="宋体" w:hAnsi="宋体" w:eastAsia="宋体" w:cs="宋体"/>
      <w:color w:val="000000"/>
      <w:kern w:val="0"/>
      <w:sz w:val="24"/>
      <w:szCs w:val="24"/>
    </w:rPr>
  </w:style>
  <w:style w:type="paragraph" w:customStyle="1" w:styleId="113">
    <w:name w:val="inx_box1"/>
    <w:basedOn w:val="1"/>
    <w:qFormat/>
    <w:uiPriority w:val="0"/>
    <w:pPr>
      <w:widowControl/>
      <w:spacing w:before="540"/>
      <w:jc w:val="left"/>
    </w:pPr>
    <w:rPr>
      <w:rFonts w:ascii="宋体" w:hAnsi="宋体" w:eastAsia="宋体" w:cs="宋体"/>
      <w:kern w:val="0"/>
      <w:sz w:val="24"/>
      <w:szCs w:val="24"/>
    </w:rPr>
  </w:style>
  <w:style w:type="paragraph" w:customStyle="1" w:styleId="114">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5">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6">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7">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8">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19">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20">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1">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2">
    <w:name w:val="inx_box8"/>
    <w:basedOn w:val="1"/>
    <w:qFormat/>
    <w:uiPriority w:val="0"/>
    <w:pPr>
      <w:widowControl/>
      <w:spacing w:before="150"/>
      <w:jc w:val="left"/>
    </w:pPr>
    <w:rPr>
      <w:rFonts w:ascii="宋体" w:hAnsi="宋体" w:eastAsia="宋体" w:cs="宋体"/>
      <w:kern w:val="0"/>
      <w:sz w:val="24"/>
      <w:szCs w:val="24"/>
    </w:rPr>
  </w:style>
  <w:style w:type="paragraph" w:customStyle="1" w:styleId="123">
    <w:name w:val="inx_image1"/>
    <w:basedOn w:val="1"/>
    <w:qFormat/>
    <w:uiPriority w:val="0"/>
    <w:pPr>
      <w:widowControl/>
      <w:jc w:val="left"/>
    </w:pPr>
    <w:rPr>
      <w:rFonts w:ascii="宋体" w:hAnsi="宋体" w:eastAsia="宋体" w:cs="宋体"/>
      <w:color w:val="000000"/>
      <w:kern w:val="0"/>
      <w:sz w:val="24"/>
      <w:szCs w:val="24"/>
    </w:rPr>
  </w:style>
  <w:style w:type="paragraph" w:customStyle="1" w:styleId="124">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5">
    <w:name w:val="inx_box10"/>
    <w:basedOn w:val="1"/>
    <w:qFormat/>
    <w:uiPriority w:val="0"/>
    <w:pPr>
      <w:widowControl/>
      <w:spacing w:before="150"/>
      <w:jc w:val="left"/>
    </w:pPr>
    <w:rPr>
      <w:rFonts w:ascii="宋体" w:hAnsi="宋体" w:eastAsia="宋体" w:cs="宋体"/>
      <w:kern w:val="0"/>
      <w:sz w:val="24"/>
      <w:szCs w:val="24"/>
    </w:rPr>
  </w:style>
  <w:style w:type="paragraph" w:customStyle="1" w:styleId="126">
    <w:name w:val="inx_box11"/>
    <w:basedOn w:val="1"/>
    <w:qFormat/>
    <w:uiPriority w:val="0"/>
    <w:pPr>
      <w:widowControl/>
      <w:jc w:val="left"/>
    </w:pPr>
    <w:rPr>
      <w:rFonts w:ascii="宋体" w:hAnsi="宋体" w:eastAsia="宋体" w:cs="宋体"/>
      <w:kern w:val="0"/>
      <w:sz w:val="24"/>
      <w:szCs w:val="24"/>
    </w:rPr>
  </w:style>
  <w:style w:type="paragraph" w:customStyle="1" w:styleId="127">
    <w:name w:val="inx_image2"/>
    <w:basedOn w:val="1"/>
    <w:qFormat/>
    <w:uiPriority w:val="0"/>
    <w:pPr>
      <w:widowControl/>
      <w:jc w:val="left"/>
    </w:pPr>
    <w:rPr>
      <w:rFonts w:ascii="宋体" w:hAnsi="宋体" w:eastAsia="宋体" w:cs="宋体"/>
      <w:color w:val="000000"/>
      <w:kern w:val="0"/>
      <w:sz w:val="24"/>
      <w:szCs w:val="24"/>
    </w:rPr>
  </w:style>
  <w:style w:type="paragraph" w:customStyle="1" w:styleId="128">
    <w:name w:val="inx_box12"/>
    <w:basedOn w:val="1"/>
    <w:qFormat/>
    <w:uiPriority w:val="0"/>
    <w:pPr>
      <w:widowControl/>
      <w:jc w:val="left"/>
    </w:pPr>
    <w:rPr>
      <w:rFonts w:ascii="宋体" w:hAnsi="宋体" w:eastAsia="宋体" w:cs="宋体"/>
      <w:kern w:val="0"/>
      <w:sz w:val="24"/>
      <w:szCs w:val="24"/>
    </w:rPr>
  </w:style>
  <w:style w:type="paragraph" w:customStyle="1" w:styleId="129">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30">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1">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2">
    <w:name w:val="inx_box14"/>
    <w:basedOn w:val="1"/>
    <w:qFormat/>
    <w:uiPriority w:val="0"/>
    <w:pPr>
      <w:widowControl/>
      <w:ind w:left="240"/>
      <w:jc w:val="left"/>
    </w:pPr>
    <w:rPr>
      <w:rFonts w:ascii="宋体" w:hAnsi="宋体" w:eastAsia="宋体" w:cs="宋体"/>
      <w:kern w:val="0"/>
      <w:sz w:val="24"/>
      <w:szCs w:val="24"/>
    </w:rPr>
  </w:style>
  <w:style w:type="paragraph" w:customStyle="1" w:styleId="133">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4">
    <w:name w:val="inx_box15"/>
    <w:basedOn w:val="1"/>
    <w:qFormat/>
    <w:uiPriority w:val="0"/>
    <w:pPr>
      <w:widowControl/>
      <w:jc w:val="left"/>
    </w:pPr>
    <w:rPr>
      <w:rFonts w:ascii="宋体" w:hAnsi="宋体" w:eastAsia="宋体" w:cs="宋体"/>
      <w:kern w:val="0"/>
      <w:sz w:val="24"/>
      <w:szCs w:val="24"/>
    </w:rPr>
  </w:style>
  <w:style w:type="paragraph" w:customStyle="1" w:styleId="135">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6">
    <w:name w:val="inx_box16"/>
    <w:basedOn w:val="1"/>
    <w:qFormat/>
    <w:uiPriority w:val="0"/>
    <w:pPr>
      <w:widowControl/>
      <w:jc w:val="left"/>
    </w:pPr>
    <w:rPr>
      <w:rFonts w:ascii="宋体" w:hAnsi="宋体" w:eastAsia="宋体" w:cs="宋体"/>
      <w:kern w:val="0"/>
      <w:sz w:val="24"/>
      <w:szCs w:val="24"/>
    </w:rPr>
  </w:style>
  <w:style w:type="paragraph" w:customStyle="1" w:styleId="137">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8">
    <w:name w:val="inx_box17"/>
    <w:basedOn w:val="1"/>
    <w:qFormat/>
    <w:uiPriority w:val="0"/>
    <w:pPr>
      <w:widowControl/>
      <w:spacing w:before="150"/>
      <w:jc w:val="left"/>
    </w:pPr>
    <w:rPr>
      <w:rFonts w:ascii="宋体" w:hAnsi="宋体" w:eastAsia="宋体" w:cs="宋体"/>
      <w:kern w:val="0"/>
      <w:sz w:val="24"/>
      <w:szCs w:val="24"/>
    </w:rPr>
  </w:style>
  <w:style w:type="paragraph" w:customStyle="1" w:styleId="139">
    <w:name w:val="inx_box18"/>
    <w:basedOn w:val="1"/>
    <w:qFormat/>
    <w:uiPriority w:val="0"/>
    <w:pPr>
      <w:widowControl/>
      <w:spacing w:before="240"/>
      <w:jc w:val="left"/>
    </w:pPr>
    <w:rPr>
      <w:rFonts w:ascii="宋体" w:hAnsi="宋体" w:eastAsia="宋体" w:cs="宋体"/>
      <w:kern w:val="0"/>
      <w:sz w:val="24"/>
      <w:szCs w:val="24"/>
    </w:rPr>
  </w:style>
  <w:style w:type="paragraph" w:customStyle="1" w:styleId="140">
    <w:name w:val="inx_box19"/>
    <w:basedOn w:val="1"/>
    <w:qFormat/>
    <w:uiPriority w:val="0"/>
    <w:pPr>
      <w:widowControl/>
      <w:jc w:val="left"/>
    </w:pPr>
    <w:rPr>
      <w:rFonts w:ascii="宋体" w:hAnsi="宋体" w:eastAsia="宋体" w:cs="宋体"/>
      <w:kern w:val="0"/>
      <w:sz w:val="24"/>
      <w:szCs w:val="24"/>
    </w:rPr>
  </w:style>
  <w:style w:type="paragraph" w:customStyle="1" w:styleId="141">
    <w:name w:val="inx_box20"/>
    <w:basedOn w:val="1"/>
    <w:qFormat/>
    <w:uiPriority w:val="0"/>
    <w:pPr>
      <w:widowControl/>
      <w:spacing w:before="375"/>
      <w:jc w:val="left"/>
    </w:pPr>
    <w:rPr>
      <w:rFonts w:ascii="宋体" w:hAnsi="宋体" w:eastAsia="宋体" w:cs="宋体"/>
      <w:kern w:val="0"/>
      <w:sz w:val="24"/>
      <w:szCs w:val="24"/>
    </w:rPr>
  </w:style>
  <w:style w:type="paragraph" w:customStyle="1" w:styleId="142">
    <w:name w:val="inx_box22"/>
    <w:basedOn w:val="1"/>
    <w:qFormat/>
    <w:uiPriority w:val="0"/>
    <w:pPr>
      <w:widowControl/>
      <w:jc w:val="left"/>
    </w:pPr>
    <w:rPr>
      <w:rFonts w:ascii="宋体" w:hAnsi="宋体" w:eastAsia="宋体" w:cs="宋体"/>
      <w:kern w:val="0"/>
      <w:sz w:val="24"/>
      <w:szCs w:val="24"/>
    </w:rPr>
  </w:style>
  <w:style w:type="paragraph" w:customStyle="1" w:styleId="143">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4">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5">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6">
    <w:name w:val="tbimg"/>
    <w:basedOn w:val="1"/>
    <w:qFormat/>
    <w:uiPriority w:val="0"/>
    <w:pPr>
      <w:widowControl/>
      <w:spacing w:before="90"/>
      <w:jc w:val="left"/>
    </w:pPr>
    <w:rPr>
      <w:rFonts w:ascii="宋体" w:hAnsi="宋体" w:eastAsia="宋体" w:cs="宋体"/>
      <w:kern w:val="0"/>
      <w:sz w:val="24"/>
      <w:szCs w:val="24"/>
    </w:rPr>
  </w:style>
  <w:style w:type="paragraph" w:customStyle="1" w:styleId="147">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8">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9">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50">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1">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2">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3">
    <w:name w:val="inx_text11"/>
    <w:basedOn w:val="1"/>
    <w:qFormat/>
    <w:uiPriority w:val="0"/>
    <w:pPr>
      <w:widowControl/>
      <w:spacing w:before="90"/>
      <w:jc w:val="left"/>
    </w:pPr>
    <w:rPr>
      <w:rFonts w:ascii="宋体" w:hAnsi="宋体" w:eastAsia="宋体" w:cs="宋体"/>
      <w:kern w:val="0"/>
      <w:sz w:val="24"/>
      <w:szCs w:val="24"/>
    </w:rPr>
  </w:style>
  <w:style w:type="paragraph" w:customStyle="1" w:styleId="154">
    <w:name w:val="inx_box28"/>
    <w:basedOn w:val="1"/>
    <w:qFormat/>
    <w:uiPriority w:val="0"/>
    <w:pPr>
      <w:widowControl/>
      <w:spacing w:before="240"/>
      <w:jc w:val="left"/>
    </w:pPr>
    <w:rPr>
      <w:rFonts w:ascii="宋体" w:hAnsi="宋体" w:eastAsia="宋体" w:cs="宋体"/>
      <w:kern w:val="0"/>
      <w:sz w:val="24"/>
      <w:szCs w:val="24"/>
    </w:rPr>
  </w:style>
  <w:style w:type="paragraph" w:customStyle="1" w:styleId="155">
    <w:name w:val="inx_image4"/>
    <w:basedOn w:val="1"/>
    <w:qFormat/>
    <w:uiPriority w:val="0"/>
    <w:pPr>
      <w:widowControl/>
      <w:jc w:val="left"/>
    </w:pPr>
    <w:rPr>
      <w:rFonts w:ascii="宋体" w:hAnsi="宋体" w:eastAsia="宋体" w:cs="宋体"/>
      <w:color w:val="000000"/>
      <w:kern w:val="0"/>
      <w:sz w:val="24"/>
      <w:szCs w:val="24"/>
    </w:rPr>
  </w:style>
  <w:style w:type="paragraph" w:customStyle="1" w:styleId="156">
    <w:name w:val="inx_box29"/>
    <w:basedOn w:val="1"/>
    <w:qFormat/>
    <w:uiPriority w:val="0"/>
    <w:pPr>
      <w:widowControl/>
      <w:spacing w:before="300"/>
      <w:jc w:val="left"/>
    </w:pPr>
    <w:rPr>
      <w:rFonts w:ascii="宋体" w:hAnsi="宋体" w:eastAsia="宋体" w:cs="宋体"/>
      <w:kern w:val="0"/>
      <w:sz w:val="24"/>
      <w:szCs w:val="24"/>
    </w:rPr>
  </w:style>
  <w:style w:type="paragraph" w:customStyle="1" w:styleId="157">
    <w:name w:val="inx_box30"/>
    <w:basedOn w:val="1"/>
    <w:qFormat/>
    <w:uiPriority w:val="0"/>
    <w:pPr>
      <w:widowControl/>
      <w:jc w:val="left"/>
    </w:pPr>
    <w:rPr>
      <w:rFonts w:ascii="宋体" w:hAnsi="宋体" w:eastAsia="宋体" w:cs="宋体"/>
      <w:kern w:val="0"/>
      <w:sz w:val="24"/>
      <w:szCs w:val="24"/>
    </w:rPr>
  </w:style>
  <w:style w:type="paragraph" w:customStyle="1" w:styleId="158">
    <w:name w:val="inx_box43"/>
    <w:basedOn w:val="1"/>
    <w:qFormat/>
    <w:uiPriority w:val="0"/>
    <w:pPr>
      <w:widowControl/>
      <w:jc w:val="left"/>
    </w:pPr>
    <w:rPr>
      <w:rFonts w:ascii="宋体" w:hAnsi="宋体" w:eastAsia="宋体" w:cs="宋体"/>
      <w:kern w:val="0"/>
      <w:sz w:val="24"/>
      <w:szCs w:val="24"/>
    </w:rPr>
  </w:style>
  <w:style w:type="paragraph" w:customStyle="1" w:styleId="159">
    <w:name w:val="inx_box21"/>
    <w:basedOn w:val="1"/>
    <w:qFormat/>
    <w:uiPriority w:val="0"/>
    <w:pPr>
      <w:widowControl/>
      <w:spacing w:after="225"/>
      <w:jc w:val="left"/>
    </w:pPr>
    <w:rPr>
      <w:rFonts w:ascii="宋体" w:hAnsi="宋体" w:eastAsia="宋体" w:cs="宋体"/>
      <w:kern w:val="0"/>
      <w:sz w:val="24"/>
      <w:szCs w:val="24"/>
    </w:rPr>
  </w:style>
  <w:style w:type="paragraph" w:customStyle="1" w:styleId="160">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1">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2">
    <w:name w:val="inx_box31"/>
    <w:basedOn w:val="1"/>
    <w:qFormat/>
    <w:uiPriority w:val="0"/>
    <w:pPr>
      <w:widowControl/>
      <w:jc w:val="left"/>
    </w:pPr>
    <w:rPr>
      <w:rFonts w:ascii="宋体" w:hAnsi="宋体" w:eastAsia="宋体" w:cs="宋体"/>
      <w:kern w:val="0"/>
      <w:sz w:val="24"/>
      <w:szCs w:val="24"/>
    </w:rPr>
  </w:style>
  <w:style w:type="paragraph" w:customStyle="1" w:styleId="163">
    <w:name w:val="inx_box33"/>
    <w:basedOn w:val="1"/>
    <w:qFormat/>
    <w:uiPriority w:val="0"/>
    <w:pPr>
      <w:widowControl/>
      <w:jc w:val="left"/>
    </w:pPr>
    <w:rPr>
      <w:rFonts w:ascii="宋体" w:hAnsi="宋体" w:eastAsia="宋体" w:cs="宋体"/>
      <w:kern w:val="0"/>
      <w:sz w:val="24"/>
      <w:szCs w:val="24"/>
    </w:rPr>
  </w:style>
  <w:style w:type="paragraph" w:customStyle="1" w:styleId="164">
    <w:name w:val="inx_box34"/>
    <w:basedOn w:val="1"/>
    <w:qFormat/>
    <w:uiPriority w:val="0"/>
    <w:pPr>
      <w:widowControl/>
      <w:jc w:val="left"/>
    </w:pPr>
    <w:rPr>
      <w:rFonts w:ascii="宋体" w:hAnsi="宋体" w:eastAsia="宋体" w:cs="宋体"/>
      <w:kern w:val="0"/>
      <w:sz w:val="24"/>
      <w:szCs w:val="24"/>
    </w:rPr>
  </w:style>
  <w:style w:type="paragraph" w:customStyle="1" w:styleId="165">
    <w:name w:val="inx_box35"/>
    <w:basedOn w:val="1"/>
    <w:qFormat/>
    <w:uiPriority w:val="0"/>
    <w:pPr>
      <w:widowControl/>
      <w:jc w:val="left"/>
    </w:pPr>
    <w:rPr>
      <w:rFonts w:ascii="宋体" w:hAnsi="宋体" w:eastAsia="宋体" w:cs="宋体"/>
      <w:kern w:val="0"/>
      <w:sz w:val="24"/>
      <w:szCs w:val="24"/>
    </w:rPr>
  </w:style>
  <w:style w:type="paragraph" w:customStyle="1" w:styleId="166">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7">
    <w:name w:val="inx_box36"/>
    <w:basedOn w:val="1"/>
    <w:qFormat/>
    <w:uiPriority w:val="0"/>
    <w:pPr>
      <w:widowControl/>
      <w:jc w:val="left"/>
    </w:pPr>
    <w:rPr>
      <w:rFonts w:ascii="宋体" w:hAnsi="宋体" w:eastAsia="宋体" w:cs="宋体"/>
      <w:kern w:val="0"/>
      <w:sz w:val="24"/>
      <w:szCs w:val="24"/>
    </w:rPr>
  </w:style>
  <w:style w:type="paragraph" w:customStyle="1" w:styleId="168">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69">
    <w:name w:val="inx_box37"/>
    <w:basedOn w:val="1"/>
    <w:qFormat/>
    <w:uiPriority w:val="0"/>
    <w:pPr>
      <w:widowControl/>
      <w:spacing w:before="120"/>
      <w:jc w:val="left"/>
    </w:pPr>
    <w:rPr>
      <w:rFonts w:ascii="宋体" w:hAnsi="宋体" w:eastAsia="宋体" w:cs="宋体"/>
      <w:kern w:val="0"/>
      <w:sz w:val="24"/>
      <w:szCs w:val="24"/>
    </w:rPr>
  </w:style>
  <w:style w:type="paragraph" w:customStyle="1" w:styleId="170">
    <w:name w:val="inx_box38"/>
    <w:basedOn w:val="1"/>
    <w:qFormat/>
    <w:uiPriority w:val="0"/>
    <w:pPr>
      <w:widowControl/>
      <w:jc w:val="left"/>
    </w:pPr>
    <w:rPr>
      <w:rFonts w:ascii="宋体" w:hAnsi="宋体" w:eastAsia="宋体" w:cs="宋体"/>
      <w:kern w:val="0"/>
      <w:sz w:val="24"/>
      <w:szCs w:val="24"/>
    </w:rPr>
  </w:style>
  <w:style w:type="paragraph" w:customStyle="1" w:styleId="171">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2">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3">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4">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5">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6">
    <w:name w:val="inx_box39"/>
    <w:basedOn w:val="1"/>
    <w:qFormat/>
    <w:uiPriority w:val="0"/>
    <w:pPr>
      <w:widowControl/>
      <w:spacing w:before="180"/>
      <w:jc w:val="left"/>
    </w:pPr>
    <w:rPr>
      <w:rFonts w:ascii="宋体" w:hAnsi="宋体" w:eastAsia="宋体" w:cs="宋体"/>
      <w:kern w:val="0"/>
      <w:sz w:val="24"/>
      <w:szCs w:val="24"/>
    </w:rPr>
  </w:style>
  <w:style w:type="paragraph" w:customStyle="1" w:styleId="177">
    <w:name w:val="inx_box42"/>
    <w:basedOn w:val="1"/>
    <w:qFormat/>
    <w:uiPriority w:val="0"/>
    <w:pPr>
      <w:widowControl/>
      <w:spacing w:before="180"/>
      <w:jc w:val="left"/>
    </w:pPr>
    <w:rPr>
      <w:rFonts w:ascii="宋体" w:hAnsi="宋体" w:eastAsia="宋体" w:cs="宋体"/>
      <w:kern w:val="0"/>
      <w:sz w:val="24"/>
      <w:szCs w:val="24"/>
    </w:rPr>
  </w:style>
  <w:style w:type="paragraph" w:customStyle="1" w:styleId="178">
    <w:name w:val="inx_box42b"/>
    <w:basedOn w:val="1"/>
    <w:qFormat/>
    <w:uiPriority w:val="0"/>
    <w:pPr>
      <w:widowControl/>
      <w:spacing w:before="300"/>
      <w:jc w:val="left"/>
    </w:pPr>
    <w:rPr>
      <w:rFonts w:ascii="宋体" w:hAnsi="宋体" w:eastAsia="宋体" w:cs="宋体"/>
      <w:kern w:val="0"/>
      <w:sz w:val="24"/>
      <w:szCs w:val="24"/>
    </w:rPr>
  </w:style>
  <w:style w:type="paragraph" w:customStyle="1" w:styleId="179">
    <w:name w:val="inx_box41"/>
    <w:basedOn w:val="1"/>
    <w:qFormat/>
    <w:uiPriority w:val="0"/>
    <w:pPr>
      <w:widowControl/>
      <w:spacing w:before="240"/>
      <w:jc w:val="left"/>
    </w:pPr>
    <w:rPr>
      <w:rFonts w:ascii="宋体" w:hAnsi="宋体" w:eastAsia="宋体" w:cs="宋体"/>
      <w:kern w:val="0"/>
      <w:sz w:val="24"/>
      <w:szCs w:val="24"/>
    </w:rPr>
  </w:style>
  <w:style w:type="paragraph" w:customStyle="1" w:styleId="180">
    <w:name w:val="inx_box40"/>
    <w:basedOn w:val="1"/>
    <w:qFormat/>
    <w:uiPriority w:val="0"/>
    <w:pPr>
      <w:widowControl/>
      <w:spacing w:before="240"/>
      <w:jc w:val="left"/>
    </w:pPr>
    <w:rPr>
      <w:rFonts w:ascii="宋体" w:hAnsi="宋体" w:eastAsia="宋体" w:cs="宋体"/>
      <w:kern w:val="0"/>
      <w:sz w:val="24"/>
      <w:szCs w:val="24"/>
    </w:rPr>
  </w:style>
  <w:style w:type="paragraph" w:customStyle="1" w:styleId="181">
    <w:name w:val="inx_image5"/>
    <w:basedOn w:val="1"/>
    <w:qFormat/>
    <w:uiPriority w:val="0"/>
    <w:pPr>
      <w:widowControl/>
      <w:jc w:val="left"/>
    </w:pPr>
    <w:rPr>
      <w:rFonts w:ascii="宋体" w:hAnsi="宋体" w:eastAsia="宋体" w:cs="宋体"/>
      <w:color w:val="000000"/>
      <w:kern w:val="0"/>
      <w:sz w:val="24"/>
      <w:szCs w:val="24"/>
    </w:rPr>
  </w:style>
  <w:style w:type="paragraph" w:customStyle="1" w:styleId="182">
    <w:name w:val="inx_box44"/>
    <w:basedOn w:val="1"/>
    <w:qFormat/>
    <w:uiPriority w:val="0"/>
    <w:pPr>
      <w:widowControl/>
      <w:jc w:val="left"/>
    </w:pPr>
    <w:rPr>
      <w:rFonts w:ascii="宋体" w:hAnsi="宋体" w:eastAsia="宋体" w:cs="宋体"/>
      <w:kern w:val="0"/>
      <w:sz w:val="24"/>
      <w:szCs w:val="24"/>
    </w:rPr>
  </w:style>
  <w:style w:type="paragraph" w:customStyle="1" w:styleId="183">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4">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5">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6">
    <w:name w:val="inx_box46"/>
    <w:basedOn w:val="1"/>
    <w:qFormat/>
    <w:uiPriority w:val="0"/>
    <w:pPr>
      <w:widowControl/>
      <w:spacing w:before="75"/>
      <w:jc w:val="left"/>
    </w:pPr>
    <w:rPr>
      <w:rFonts w:ascii="宋体" w:hAnsi="宋体" w:eastAsia="宋体" w:cs="宋体"/>
      <w:kern w:val="0"/>
      <w:sz w:val="24"/>
      <w:szCs w:val="24"/>
    </w:rPr>
  </w:style>
  <w:style w:type="paragraph" w:customStyle="1" w:styleId="187">
    <w:name w:val="inx_box47"/>
    <w:basedOn w:val="1"/>
    <w:qFormat/>
    <w:uiPriority w:val="0"/>
    <w:pPr>
      <w:widowControl/>
      <w:jc w:val="left"/>
    </w:pPr>
    <w:rPr>
      <w:rFonts w:ascii="宋体" w:hAnsi="宋体" w:eastAsia="宋体" w:cs="宋体"/>
      <w:kern w:val="0"/>
      <w:sz w:val="24"/>
      <w:szCs w:val="24"/>
    </w:rPr>
  </w:style>
  <w:style w:type="paragraph" w:customStyle="1" w:styleId="188">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89">
    <w:name w:val="inx_image7"/>
    <w:basedOn w:val="1"/>
    <w:qFormat/>
    <w:uiPriority w:val="0"/>
    <w:pPr>
      <w:widowControl/>
      <w:jc w:val="left"/>
    </w:pPr>
    <w:rPr>
      <w:rFonts w:ascii="宋体" w:hAnsi="宋体" w:eastAsia="宋体" w:cs="宋体"/>
      <w:color w:val="000000"/>
      <w:kern w:val="0"/>
      <w:sz w:val="24"/>
      <w:szCs w:val="24"/>
    </w:rPr>
  </w:style>
  <w:style w:type="paragraph" w:customStyle="1" w:styleId="190">
    <w:name w:val="inx_image8"/>
    <w:basedOn w:val="1"/>
    <w:qFormat/>
    <w:uiPriority w:val="0"/>
    <w:pPr>
      <w:widowControl/>
      <w:jc w:val="left"/>
    </w:pPr>
    <w:rPr>
      <w:rFonts w:ascii="宋体" w:hAnsi="宋体" w:eastAsia="宋体" w:cs="宋体"/>
      <w:color w:val="000000"/>
      <w:kern w:val="0"/>
      <w:sz w:val="24"/>
      <w:szCs w:val="24"/>
    </w:rPr>
  </w:style>
  <w:style w:type="paragraph" w:customStyle="1" w:styleId="191">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2">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3">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4">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5">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6">
    <w:name w:val="inx_box50"/>
    <w:basedOn w:val="1"/>
    <w:qFormat/>
    <w:uiPriority w:val="0"/>
    <w:pPr>
      <w:widowControl/>
      <w:spacing w:before="300"/>
      <w:jc w:val="left"/>
    </w:pPr>
    <w:rPr>
      <w:rFonts w:ascii="宋体" w:hAnsi="宋体" w:eastAsia="宋体" w:cs="宋体"/>
      <w:kern w:val="0"/>
      <w:sz w:val="24"/>
      <w:szCs w:val="24"/>
    </w:rPr>
  </w:style>
  <w:style w:type="paragraph" w:customStyle="1" w:styleId="197">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8">
    <w:name w:val="inx_box52"/>
    <w:basedOn w:val="1"/>
    <w:qFormat/>
    <w:uiPriority w:val="0"/>
    <w:pPr>
      <w:widowControl/>
      <w:spacing w:before="90"/>
      <w:jc w:val="left"/>
    </w:pPr>
    <w:rPr>
      <w:rFonts w:ascii="宋体" w:hAnsi="宋体" w:eastAsia="宋体" w:cs="宋体"/>
      <w:kern w:val="0"/>
      <w:sz w:val="24"/>
      <w:szCs w:val="24"/>
    </w:rPr>
  </w:style>
  <w:style w:type="paragraph" w:customStyle="1" w:styleId="199">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200">
    <w:name w:val="inx_box53"/>
    <w:basedOn w:val="1"/>
    <w:qFormat/>
    <w:uiPriority w:val="0"/>
    <w:pPr>
      <w:widowControl/>
      <w:spacing w:before="240"/>
      <w:jc w:val="left"/>
    </w:pPr>
    <w:rPr>
      <w:rFonts w:ascii="宋体" w:hAnsi="宋体" w:eastAsia="宋体" w:cs="宋体"/>
      <w:kern w:val="0"/>
      <w:sz w:val="24"/>
      <w:szCs w:val="24"/>
    </w:rPr>
  </w:style>
  <w:style w:type="paragraph" w:customStyle="1" w:styleId="201">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2">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3">
    <w:name w:val="inx_box55"/>
    <w:basedOn w:val="1"/>
    <w:qFormat/>
    <w:uiPriority w:val="0"/>
    <w:pPr>
      <w:widowControl/>
      <w:spacing w:before="240"/>
      <w:jc w:val="left"/>
    </w:pPr>
    <w:rPr>
      <w:rFonts w:ascii="宋体" w:hAnsi="宋体" w:eastAsia="宋体" w:cs="宋体"/>
      <w:kern w:val="0"/>
      <w:sz w:val="24"/>
      <w:szCs w:val="24"/>
    </w:rPr>
  </w:style>
  <w:style w:type="paragraph" w:customStyle="1" w:styleId="204">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5">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6">
    <w:name w:val="menu"/>
    <w:basedOn w:val="1"/>
    <w:qFormat/>
    <w:uiPriority w:val="0"/>
    <w:pPr>
      <w:widowControl/>
      <w:jc w:val="left"/>
    </w:pPr>
    <w:rPr>
      <w:rFonts w:ascii="宋体" w:hAnsi="宋体" w:eastAsia="宋体" w:cs="宋体"/>
      <w:kern w:val="0"/>
      <w:sz w:val="24"/>
      <w:szCs w:val="24"/>
    </w:rPr>
  </w:style>
  <w:style w:type="paragraph" w:customStyle="1" w:styleId="207">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8">
    <w:name w:val="diqu-list"/>
    <w:basedOn w:val="1"/>
    <w:qFormat/>
    <w:uiPriority w:val="0"/>
    <w:pPr>
      <w:widowControl/>
      <w:jc w:val="left"/>
    </w:pPr>
    <w:rPr>
      <w:rFonts w:ascii="宋体" w:hAnsi="宋体" w:eastAsia="宋体" w:cs="宋体"/>
      <w:kern w:val="0"/>
      <w:sz w:val="24"/>
      <w:szCs w:val="24"/>
    </w:rPr>
  </w:style>
  <w:style w:type="paragraph" w:customStyle="1" w:styleId="209">
    <w:name w:val="hidden"/>
    <w:basedOn w:val="1"/>
    <w:qFormat/>
    <w:uiPriority w:val="0"/>
    <w:pPr>
      <w:widowControl/>
      <w:jc w:val="left"/>
    </w:pPr>
    <w:rPr>
      <w:rFonts w:ascii="宋体" w:hAnsi="宋体" w:eastAsia="宋体" w:cs="宋体"/>
      <w:vanish/>
      <w:kern w:val="0"/>
      <w:sz w:val="24"/>
      <w:szCs w:val="24"/>
    </w:rPr>
  </w:style>
  <w:style w:type="character" w:customStyle="1" w:styleId="210">
    <w:name w:val="editinput"/>
    <w:basedOn w:val="17"/>
    <w:qFormat/>
    <w:uiPriority w:val="0"/>
  </w:style>
  <w:style w:type="character" w:customStyle="1" w:styleId="211">
    <w:name w:val="edittexttarea"/>
    <w:basedOn w:val="17"/>
    <w:qFormat/>
    <w:uiPriority w:val="0"/>
  </w:style>
  <w:style w:type="character" w:customStyle="1" w:styleId="212">
    <w:name w:val="页眉 Char"/>
    <w:basedOn w:val="17"/>
    <w:link w:val="10"/>
    <w:qFormat/>
    <w:uiPriority w:val="99"/>
    <w:rPr>
      <w:sz w:val="18"/>
      <w:szCs w:val="18"/>
    </w:rPr>
  </w:style>
  <w:style w:type="character" w:customStyle="1" w:styleId="213">
    <w:name w:val="页脚 Char"/>
    <w:basedOn w:val="17"/>
    <w:link w:val="9"/>
    <w:qFormat/>
    <w:uiPriority w:val="99"/>
    <w:rPr>
      <w:sz w:val="18"/>
      <w:szCs w:val="18"/>
    </w:rPr>
  </w:style>
  <w:style w:type="character" w:customStyle="1" w:styleId="214">
    <w:name w:val="标题 2 Char"/>
    <w:basedOn w:val="17"/>
    <w:link w:val="3"/>
    <w:qFormat/>
    <w:uiPriority w:val="9"/>
    <w:rPr>
      <w:rFonts w:asciiTheme="majorHAnsi" w:hAnsiTheme="majorHAnsi" w:eastAsiaTheme="majorEastAsia" w:cstheme="majorBidi"/>
      <w:b/>
      <w:bCs/>
      <w:sz w:val="32"/>
      <w:szCs w:val="32"/>
    </w:rPr>
  </w:style>
  <w:style w:type="character" w:customStyle="1" w:styleId="215">
    <w:name w:val="标题 3 Char"/>
    <w:basedOn w:val="17"/>
    <w:link w:val="4"/>
    <w:qFormat/>
    <w:uiPriority w:val="9"/>
    <w:rPr>
      <w:b/>
      <w:bCs/>
      <w:sz w:val="32"/>
      <w:szCs w:val="32"/>
    </w:rPr>
  </w:style>
  <w:style w:type="paragraph" w:styleId="216">
    <w:name w:val="List Paragraph"/>
    <w:basedOn w:val="1"/>
    <w:qFormat/>
    <w:uiPriority w:val="34"/>
    <w:pPr>
      <w:ind w:firstLine="420" w:firstLineChars="200"/>
    </w:pPr>
  </w:style>
  <w:style w:type="paragraph" w:customStyle="1" w:styleId="217">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218">
    <w:name w:val="批注框文本 Char"/>
    <w:basedOn w:val="17"/>
    <w:link w:val="8"/>
    <w:semiHidden/>
    <w:qFormat/>
    <w:uiPriority w:val="99"/>
    <w:rPr>
      <w:sz w:val="18"/>
      <w:szCs w:val="18"/>
    </w:rPr>
  </w:style>
  <w:style w:type="character" w:customStyle="1" w:styleId="219">
    <w:name w:val="font11"/>
    <w:basedOn w:val="17"/>
    <w:qFormat/>
    <w:uiPriority w:val="0"/>
    <w:rPr>
      <w:rFonts w:hint="eastAsia" w:ascii="宋体" w:hAnsi="宋体" w:eastAsia="宋体" w:cs="宋体"/>
      <w:color w:val="000000"/>
      <w:sz w:val="18"/>
      <w:szCs w:val="18"/>
      <w:u w:val="none"/>
    </w:rPr>
  </w:style>
  <w:style w:type="character" w:customStyle="1" w:styleId="220">
    <w:name w:val="font31"/>
    <w:basedOn w:val="17"/>
    <w:qFormat/>
    <w:uiPriority w:val="0"/>
    <w:rPr>
      <w:rFonts w:hint="default" w:ascii="Symbol" w:hAnsi="Symbol" w:cs="Symbol"/>
      <w:color w:val="000000"/>
      <w:sz w:val="18"/>
      <w:szCs w:val="18"/>
      <w:u w:val="none"/>
    </w:rPr>
  </w:style>
  <w:style w:type="character" w:customStyle="1" w:styleId="221">
    <w:name w:val="font21"/>
    <w:qFormat/>
    <w:uiPriority w:val="0"/>
    <w:rPr>
      <w:rFonts w:hint="eastAsia" w:ascii="宋体" w:hAnsi="宋体" w:eastAsia="宋体" w:cs="宋体"/>
      <w:color w:val="000000"/>
      <w:sz w:val="20"/>
      <w:szCs w:val="20"/>
      <w:u w:val="none"/>
    </w:rPr>
  </w:style>
  <w:style w:type="paragraph" w:customStyle="1" w:styleId="222">
    <w:name w:val="Defaul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C91781-9562-49C0-8393-279BBC8142F3}">
  <ds:schemaRefs/>
</ds:datastoreItem>
</file>

<file path=docProps/app.xml><?xml version="1.0" encoding="utf-8"?>
<Properties xmlns="http://schemas.openxmlformats.org/officeDocument/2006/extended-properties" xmlns:vt="http://schemas.openxmlformats.org/officeDocument/2006/docPropsVTypes">
  <Template>Normal</Template>
  <Pages>26</Pages>
  <Words>2241</Words>
  <Characters>12775</Characters>
  <Lines>106</Lines>
  <Paragraphs>29</Paragraphs>
  <TotalTime>0</TotalTime>
  <ScaleCrop>false</ScaleCrop>
  <LinksUpToDate>false</LinksUpToDate>
  <CharactersWithSpaces>14987</CharactersWithSpaces>
  <Application>WPS Office_11.1.0.9198_F1E327BC-269C-435d-A152-05C5408002CA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2018-04-25T09:58:00Z</dcterms:created>
  <dc:creator>Qingju Zh</dc:creator>
  <cp:lastModifiedBy>DB哥</cp:lastModifiedBy>
  <dcterms:modified xsi:type="dcterms:W3CDTF">2019-12-09T02:02:39Z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2052-11.1.0.9198</vt:lpwstr>
  </property>
</Properties>
</file>